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2C7D" w14:textId="77777777" w:rsidR="001A2A6E" w:rsidRPr="008537F0" w:rsidRDefault="00FC322D" w:rsidP="00605440">
      <w:pPr>
        <w:bidi/>
        <w:jc w:val="center"/>
        <w:rPr>
          <w:rFonts w:ascii="Traditional Arabic" w:eastAsia="Times New Roman" w:hAnsi="Traditional Arabic" w:cs="Traditional Arabic"/>
          <w:b/>
          <w:bCs/>
          <w:color w:val="C00000"/>
          <w:sz w:val="40"/>
          <w:szCs w:val="40"/>
          <w:rtl/>
        </w:rPr>
      </w:pPr>
      <w:r w:rsidRPr="008537F0">
        <w:rPr>
          <w:rFonts w:ascii="Traditional Arabic" w:eastAsia="Times New Roman" w:hAnsi="Traditional Arabic" w:cs="Traditional Arabic" w:hint="cs"/>
          <w:b/>
          <w:bCs/>
          <w:color w:val="C00000"/>
          <w:sz w:val="40"/>
          <w:szCs w:val="40"/>
          <w:rtl/>
        </w:rPr>
        <w:t>من أذكار الصباح والمساء</w:t>
      </w:r>
    </w:p>
    <w:p w14:paraId="6F75B703" w14:textId="77777777" w:rsidR="008537F0" w:rsidRDefault="008537F0" w:rsidP="00F672ED">
      <w:pPr>
        <w:bidi/>
        <w:spacing w:after="160" w:line="259" w:lineRule="auto"/>
        <w:ind w:firstLine="720"/>
        <w:jc w:val="both"/>
        <w:rPr>
          <w:rFonts w:ascii="Times New Roman" w:eastAsia="Times New Roman" w:hAnsi="Times New Roman" w:cs="Traditional Arabic"/>
          <w:color w:val="000000"/>
          <w:sz w:val="20"/>
          <w:szCs w:val="32"/>
        </w:rPr>
      </w:pPr>
    </w:p>
    <w:p w14:paraId="11FAD4D2" w14:textId="77777777" w:rsidR="00F94F24" w:rsidRPr="00F672ED" w:rsidRDefault="00F94F24" w:rsidP="008537F0">
      <w:pPr>
        <w:bidi/>
        <w:spacing w:after="160" w:line="259" w:lineRule="auto"/>
        <w:ind w:firstLine="720"/>
        <w:jc w:val="both"/>
        <w:rPr>
          <w:rFonts w:ascii="Times New Roman" w:eastAsia="Times New Roman" w:hAnsi="Times New Roman" w:cs="Traditional Arabic"/>
          <w:color w:val="000000"/>
          <w:sz w:val="20"/>
          <w:szCs w:val="32"/>
        </w:rPr>
      </w:pP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ر</w:t>
      </w:r>
      <w:r w:rsidR="004B4B42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ُ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وي عن عبد الرحمن بن أبي ب</w:t>
      </w:r>
      <w:r w:rsidR="004B4B42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َ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كرة أنه قال لأبيه: ( يا أبت إني أسمعك تدعوه كل غداة</w:t>
      </w:r>
      <w:r w:rsidR="00544A9B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: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اللهم عافني في بدني اللهم عافني في سمعي اللهم عافني في بصري</w:t>
      </w:r>
      <w:r w:rsidR="00544A9B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،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اللهم إني أعوذ بك من الكفر والفقر</w:t>
      </w:r>
      <w:r w:rsidR="00544A9B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،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اللهم إني أعوذ بك من عذاب القبر لا إله إلا أنت</w:t>
      </w:r>
      <w:r w:rsidR="00605440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،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تعيدها حين تصبح ثلاثا</w:t>
      </w:r>
      <w:r w:rsidR="00544A9B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ً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وثلاثا</w:t>
      </w:r>
      <w:r w:rsidR="00544A9B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ً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حين تمسي</w:t>
      </w:r>
      <w:r w:rsidR="00605440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،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فقال: إني سمعت رسول الله </w:t>
      </w:r>
      <w:r w:rsidR="00F433F1" w:rsidRPr="001632A2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ﷺ</w:t>
      </w:r>
      <w:r w:rsidR="00F433F1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يدعو بهن فأنا أحب أن </w:t>
      </w:r>
      <w:r w:rsidR="001A2A6E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أ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ستن بسنته )</w:t>
      </w:r>
      <w:r w:rsidR="00F672ED" w:rsidRPr="001D7555">
        <w:rPr>
          <w:rFonts w:ascii="Times New Roman" w:eastAsia="Times New Roman" w:hAnsi="Times New Roman" w:cs="Traditional Arabic" w:hint="cs"/>
          <w:b/>
          <w:bCs/>
          <w:color w:val="2F5496"/>
          <w:sz w:val="20"/>
          <w:szCs w:val="32"/>
          <w:vertAlign w:val="superscript"/>
          <w:rtl/>
        </w:rPr>
        <w:t>(</w:t>
      </w:r>
      <w:r w:rsidR="00F672ED" w:rsidRPr="001D7555">
        <w:rPr>
          <w:rFonts w:ascii="Times New Roman" w:eastAsia="Times New Roman" w:hAnsi="Times New Roman" w:cs="Traditional Arabic"/>
          <w:b/>
          <w:bCs/>
          <w:color w:val="2F5496"/>
          <w:sz w:val="20"/>
          <w:szCs w:val="32"/>
          <w:vertAlign w:val="superscript"/>
          <w:rtl/>
        </w:rPr>
        <w:footnoteReference w:id="1"/>
      </w:r>
      <w:r w:rsidR="00F672ED" w:rsidRPr="007A23CB">
        <w:rPr>
          <w:rFonts w:ascii="Times New Roman" w:eastAsia="Times New Roman" w:hAnsi="Times New Roman" w:cs="Traditional Arabic" w:hint="cs"/>
          <w:b/>
          <w:bCs/>
          <w:color w:val="2F5496"/>
          <w:sz w:val="20"/>
          <w:szCs w:val="32"/>
          <w:vertAlign w:val="superscript"/>
          <w:rtl/>
        </w:rPr>
        <w:t>)</w:t>
      </w:r>
    </w:p>
    <w:p w14:paraId="5EC330F6" w14:textId="77777777" w:rsidR="00DF5D56" w:rsidRPr="00F672ED" w:rsidRDefault="00412C0F" w:rsidP="00F672ED">
      <w:pPr>
        <w:bidi/>
        <w:spacing w:after="160" w:line="259" w:lineRule="auto"/>
        <w:ind w:firstLine="720"/>
        <w:jc w:val="both"/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</w:pP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إن المعافاة في البدن قوام الحياة فلا تصفو مع الأسقام والأدواء لذا كان من الدعاء سؤال الله تعالى إدامة نعمة الصحة والعافية. والسمع والبصر من أجزاء البدن فلماذا خصو</w:t>
      </w:r>
      <w:r w:rsidR="004B4B42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ا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بالدعاء</w:t>
      </w:r>
      <w:r w:rsidR="004B4B42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؟!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بعد الدعاء العام بالمعافاة في البدن</w:t>
      </w:r>
      <w:r w:rsidR="00DD5BF3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؟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. والحكمة في ذلك والعلم عند الله أن السمع والبصر هما بوابة تلقي العلم والمعرفة لدى الإنسان، ف</w:t>
      </w:r>
      <w:r w:rsidR="00DD5BF3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من 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خلاله</w:t>
      </w:r>
      <w:r w:rsidR="00F433F1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م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ا يتلقى المتلقي علوم الشرع والإيمان فإما أن تستمع إلى وعظ أو درس علم أو محاضرة نافعة. وفي كافة الأزمان كان 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حفظ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القرأن لدى الصغار 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منذ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نعومة </w:t>
      </w:r>
      <w:r w:rsidR="00F433F1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أظافرهم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عن طريق السمع والتلقي. ثم لما يتقدم العمر بالإنسان ويبدأ الإدراك وتعلم القرأة تبدأ حاسة الإبصار بت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لقي العلوم بقرأة القر</w:t>
      </w:r>
      <w:r w:rsidR="0011393A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آ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ن وكتب الحديث وعلوم الشرع الأخرى. لذا كان لزاما</w:t>
      </w:r>
      <w:r w:rsidR="004B4B42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ً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سؤال الله دوما</w:t>
      </w:r>
      <w:r w:rsidR="00544A9B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ً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معافتنا في الس</w:t>
      </w:r>
      <w:r w:rsidR="005B19F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م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ع والبصر ليكون مصدر التلقى عن الله ورسوله صافيا</w:t>
      </w:r>
      <w:r w:rsidR="004B4B42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ً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خليا</w:t>
      </w:r>
      <w:r w:rsidR="004B4B42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ً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من الشوائب</w:t>
      </w:r>
      <w:r w:rsidR="00544A9B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،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</w:t>
      </w:r>
      <w:r w:rsidR="00544A9B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و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لكي تسري </w:t>
      </w:r>
      <w:r w:rsidR="004B4B42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المعارف 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إلى القلب صافية</w:t>
      </w:r>
      <w:r w:rsidR="00544A9B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ً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نقية</w:t>
      </w:r>
      <w:r w:rsidR="00544A9B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ً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فيتشربها</w:t>
      </w:r>
      <w:r w:rsidR="00544A9B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،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ومن ثم تصبغ كافة الجوارج بصبغة الإيمان فيكون كافة الجسد في </w:t>
      </w:r>
      <w:r w:rsidR="003213EE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ط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اعة الله ومرضاته.</w:t>
      </w:r>
    </w:p>
    <w:p w14:paraId="013A41CF" w14:textId="77777777" w:rsidR="005C3DE9" w:rsidRPr="00F672ED" w:rsidRDefault="005B19F6" w:rsidP="00F672ED">
      <w:pPr>
        <w:bidi/>
        <w:spacing w:after="160" w:line="259" w:lineRule="auto"/>
        <w:ind w:firstLine="720"/>
        <w:jc w:val="both"/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</w:pP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ومن </w:t>
      </w:r>
      <w:r w:rsidR="003213EE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بعد ذلك يأتي الدعاء بالتعوذ من الكفر والفقر، فلكافر لم يحسن التلقي عن مولاه ولم يعي مراد الله فيه إما لخلل في وسيلة التلقي وهو ما </w:t>
      </w:r>
      <w:r w:rsidR="001A2A6E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سأل السائل ربه معافاته </w:t>
      </w:r>
      <w:r w:rsidR="003213EE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في صدر هذا الذكر وإما لخلل في وقوع ذلك على النفس وتأثيره في القلب لذا كان التعوذ لحقا</w:t>
      </w:r>
      <w:r w:rsidR="00DD5BF3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ً</w:t>
      </w:r>
      <w:r w:rsidR="003213EE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من الكفر كنتيجة </w:t>
      </w:r>
      <w:r w:rsidR="005C3DE9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لمنظومة متكاملة معطلة إم </w:t>
      </w:r>
      <w:r w:rsidR="003213EE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لتعصل الإدراك أو </w:t>
      </w:r>
      <w:r w:rsidR="005C3DE9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ل</w:t>
      </w:r>
      <w:r w:rsidR="003213EE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عدم الانتفاع به</w:t>
      </w:r>
      <w:r w:rsidR="00DD5BF3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ا</w:t>
      </w:r>
      <w:r w:rsidR="003213EE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. </w:t>
      </w:r>
    </w:p>
    <w:p w14:paraId="32FB6004" w14:textId="77777777" w:rsidR="005C3DE9" w:rsidRPr="00F672ED" w:rsidRDefault="005C3DE9" w:rsidP="00F672ED">
      <w:pPr>
        <w:bidi/>
        <w:spacing w:after="160" w:line="259" w:lineRule="auto"/>
        <w:ind w:firstLine="720"/>
        <w:jc w:val="both"/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</w:pP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أما الفقر فهو يورث الإنسان قصورا</w:t>
      </w:r>
      <w:r w:rsidR="004B4B42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ً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وعجزا</w:t>
      </w:r>
      <w:r w:rsidR="004B4B42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ً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فينعكس ذلك لا</w:t>
      </w:r>
      <w:r w:rsidR="00F433F1">
        <w:rPr>
          <w:rFonts w:ascii="Times New Roman" w:eastAsia="Times New Roman" w:hAnsi="Times New Roman" w:cs="Traditional Arabic"/>
          <w:color w:val="000000"/>
          <w:sz w:val="20"/>
          <w:szCs w:val="32"/>
        </w:rPr>
        <w:t xml:space="preserve"> 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محالة على بدنه وجوارحه، وقد يفضي </w:t>
      </w:r>
      <w:r w:rsidR="001A2A6E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بص</w:t>
      </w:r>
      <w:r w:rsidR="00DD5BF3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ا</w:t>
      </w:r>
      <w:r w:rsidR="001A2A6E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حبه 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إلى </w:t>
      </w:r>
      <w:r w:rsidR="00DD5BF3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ا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رتكاب المحرمات أو التسخط على </w:t>
      </w:r>
      <w:r w:rsidR="006C24E7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أ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قدار الله وحكمه أو عدم طاعت</w:t>
      </w:r>
      <w:r w:rsidR="006C24E7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ه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على </w:t>
      </w:r>
      <w:r w:rsidR="006C24E7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ال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وجه </w:t>
      </w:r>
      <w:r w:rsidR="006C24E7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الذي 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يرضيه. </w:t>
      </w:r>
    </w:p>
    <w:p w14:paraId="709F4DAC" w14:textId="77777777" w:rsidR="00316214" w:rsidRPr="00F672ED" w:rsidRDefault="005C3DE9" w:rsidP="00F672ED">
      <w:pPr>
        <w:bidi/>
        <w:spacing w:after="160" w:line="259" w:lineRule="auto"/>
        <w:ind w:firstLine="720"/>
        <w:jc w:val="both"/>
        <w:rPr>
          <w:rFonts w:ascii="Times New Roman" w:eastAsia="Times New Roman" w:hAnsi="Times New Roman" w:cs="Traditional Arabic"/>
          <w:color w:val="000000"/>
          <w:sz w:val="20"/>
          <w:szCs w:val="32"/>
          <w:rtl/>
        </w:rPr>
      </w:pP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وجماع كل ذلك </w:t>
      </w:r>
      <w:r w:rsidR="00DF5D5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إن تيسر للإنسان صلاح و</w:t>
      </w:r>
      <w:r w:rsidR="005B19F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حسن تلقي وعمل البدن في طاعة الله ومرضاته كان</w:t>
      </w:r>
      <w:r w:rsidR="00DD5BF3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ت</w:t>
      </w:r>
      <w:r w:rsidR="005B19F6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عاقبة الإنسان حميدة بفضل الله 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وكرمه، وإن كانت الأخرى كان الإنسان مستحقا</w:t>
      </w:r>
      <w:r w:rsidR="00DD5BF3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ً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لعذاب الله في الأخرة، وأول منازلها القبر وعذابة 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lastRenderedPageBreak/>
        <w:t xml:space="preserve">ونعيمه </w:t>
      </w:r>
      <w:r w:rsidR="004B4B42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وهو 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من المقرر شرعا</w:t>
      </w:r>
      <w:r w:rsidR="004B4B42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ً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. لذا كان التعوذ من عذاب القبر هو إك</w:t>
      </w:r>
      <w:r w:rsidR="006C24E7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ت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مال المنظومة فإن نج</w:t>
      </w:r>
      <w:r w:rsidR="001A2A6E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ا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 الشخص من عذاب القبر كان من الناجين وإن ع</w:t>
      </w:r>
      <w:r w:rsidR="002D4CF7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ُ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ذب بالقبر وبقيت عليه ذنوب فقد يكون مصيره إلى النار والعياذ با</w:t>
      </w:r>
      <w:r w:rsidR="001A2A6E"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>ل</w:t>
      </w:r>
      <w:r w:rsidRPr="00F672ED">
        <w:rPr>
          <w:rFonts w:ascii="Times New Roman" w:eastAsia="Times New Roman" w:hAnsi="Times New Roman" w:cs="Traditional Arabic" w:hint="cs"/>
          <w:color w:val="000000"/>
          <w:sz w:val="20"/>
          <w:szCs w:val="32"/>
          <w:rtl/>
        </w:rPr>
        <w:t xml:space="preserve">له.  </w:t>
      </w:r>
    </w:p>
    <w:p w14:paraId="2A73AB1F" w14:textId="77777777" w:rsidR="00316214" w:rsidRPr="00F672ED" w:rsidRDefault="00316214" w:rsidP="00F672ED">
      <w:pPr>
        <w:bidi/>
        <w:spacing w:after="160" w:line="259" w:lineRule="auto"/>
        <w:ind w:firstLine="720"/>
        <w:jc w:val="both"/>
        <w:rPr>
          <w:rFonts w:ascii="Times New Roman" w:eastAsia="Times New Roman" w:hAnsi="Times New Roman" w:cs="Traditional Arabic"/>
          <w:color w:val="000000"/>
          <w:sz w:val="20"/>
          <w:szCs w:val="32"/>
          <w:rtl/>
        </w:rPr>
      </w:pPr>
    </w:p>
    <w:p w14:paraId="32788839" w14:textId="0D9E4EFE" w:rsidR="00F94F24" w:rsidRPr="00381EA9" w:rsidRDefault="00316214" w:rsidP="00F672ED">
      <w:pPr>
        <w:bidi/>
        <w:spacing w:after="160" w:line="259" w:lineRule="auto"/>
        <w:ind w:firstLine="720"/>
        <w:jc w:val="both"/>
        <w:rPr>
          <w:rFonts w:ascii="Times New Roman" w:eastAsia="Times New Roman" w:hAnsi="Times New Roman" w:cs="Traditional Arabic"/>
          <w:b/>
          <w:bCs/>
          <w:color w:val="000000"/>
          <w:sz w:val="20"/>
          <w:szCs w:val="32"/>
          <w:rtl/>
        </w:rPr>
      </w:pPr>
      <w:r w:rsidRPr="00381EA9">
        <w:rPr>
          <w:rFonts w:ascii="Times New Roman" w:eastAsia="Times New Roman" w:hAnsi="Times New Roman" w:cs="Traditional Arabic"/>
          <w:b/>
          <w:bCs/>
          <w:color w:val="000000"/>
          <w:sz w:val="20"/>
          <w:szCs w:val="32"/>
          <w:rtl/>
        </w:rPr>
        <w:t xml:space="preserve">السيد </w:t>
      </w:r>
      <w:r w:rsidRPr="00381EA9">
        <w:rPr>
          <w:rFonts w:ascii="Times New Roman" w:eastAsia="Times New Roman" w:hAnsi="Times New Roman" w:cs="Traditional Arabic" w:hint="cs"/>
          <w:b/>
          <w:bCs/>
          <w:color w:val="000000"/>
          <w:sz w:val="20"/>
          <w:szCs w:val="32"/>
          <w:rtl/>
        </w:rPr>
        <w:t>/</w:t>
      </w:r>
      <w:r w:rsidRPr="00381EA9">
        <w:rPr>
          <w:rFonts w:ascii="Times New Roman" w:eastAsia="Times New Roman" w:hAnsi="Times New Roman" w:cs="Traditional Arabic"/>
          <w:b/>
          <w:bCs/>
          <w:color w:val="000000"/>
          <w:sz w:val="20"/>
          <w:szCs w:val="32"/>
          <w:rtl/>
        </w:rPr>
        <w:t xml:space="preserve"> حكم</w:t>
      </w:r>
      <w:r w:rsidRPr="00381EA9">
        <w:rPr>
          <w:rFonts w:ascii="Times New Roman" w:eastAsia="Times New Roman" w:hAnsi="Times New Roman" w:cs="Traditional Arabic" w:hint="cs"/>
          <w:b/>
          <w:bCs/>
          <w:color w:val="000000"/>
          <w:sz w:val="20"/>
          <w:szCs w:val="32"/>
          <w:rtl/>
        </w:rPr>
        <w:t xml:space="preserve"> </w:t>
      </w:r>
      <w:r w:rsidR="00F672ED" w:rsidRPr="00381EA9">
        <w:rPr>
          <w:rFonts w:ascii="Times New Roman" w:eastAsia="Times New Roman" w:hAnsi="Times New Roman" w:cs="Traditional Arabic"/>
          <w:b/>
          <w:bCs/>
          <w:color w:val="000000"/>
          <w:sz w:val="20"/>
          <w:szCs w:val="32"/>
          <w:rtl/>
        </w:rPr>
        <w:t xml:space="preserve">زَمُّو العَقِيلي    </w:t>
      </w:r>
      <w:r w:rsidRPr="00381EA9">
        <w:rPr>
          <w:rFonts w:ascii="Times New Roman" w:eastAsia="Times New Roman" w:hAnsi="Times New Roman" w:cs="Traditional Arabic" w:hint="cs"/>
          <w:b/>
          <w:bCs/>
          <w:color w:val="000000"/>
          <w:sz w:val="20"/>
          <w:szCs w:val="32"/>
          <w:rtl/>
        </w:rPr>
        <w:t xml:space="preserve">( </w:t>
      </w:r>
      <w:r w:rsidR="00381EA9" w:rsidRPr="00381EA9">
        <w:rPr>
          <w:rFonts w:ascii="Times New Roman" w:eastAsia="Times New Roman" w:hAnsi="Times New Roman" w:cs="Traditional Arabic" w:hint="cs"/>
          <w:b/>
          <w:bCs/>
          <w:color w:val="000000"/>
          <w:sz w:val="20"/>
          <w:szCs w:val="32"/>
          <w:rtl/>
        </w:rPr>
        <w:t>1433</w:t>
      </w:r>
      <w:r w:rsidRPr="00381EA9">
        <w:rPr>
          <w:rFonts w:ascii="Times New Roman" w:eastAsia="Times New Roman" w:hAnsi="Times New Roman" w:cs="Traditional Arabic" w:hint="cs"/>
          <w:b/>
          <w:bCs/>
          <w:color w:val="000000"/>
          <w:sz w:val="20"/>
          <w:szCs w:val="32"/>
          <w:rtl/>
        </w:rPr>
        <w:t xml:space="preserve"> - </w:t>
      </w:r>
      <w:r w:rsidR="00381EA9" w:rsidRPr="00381EA9">
        <w:rPr>
          <w:rFonts w:ascii="Times New Roman" w:eastAsia="Times New Roman" w:hAnsi="Times New Roman" w:cs="Traditional Arabic" w:hint="cs"/>
          <w:b/>
          <w:bCs/>
          <w:color w:val="000000"/>
          <w:sz w:val="20"/>
          <w:szCs w:val="32"/>
          <w:rtl/>
        </w:rPr>
        <w:t>2012</w:t>
      </w:r>
      <w:r w:rsidRPr="00381EA9">
        <w:rPr>
          <w:rFonts w:ascii="Times New Roman" w:eastAsia="Times New Roman" w:hAnsi="Times New Roman" w:cs="Traditional Arabic" w:hint="cs"/>
          <w:b/>
          <w:bCs/>
          <w:color w:val="000000"/>
          <w:sz w:val="20"/>
          <w:szCs w:val="32"/>
          <w:rtl/>
        </w:rPr>
        <w:t xml:space="preserve"> )</w:t>
      </w:r>
      <w:r w:rsidR="00DF5D56" w:rsidRPr="00381EA9">
        <w:rPr>
          <w:rFonts w:ascii="Times New Roman" w:eastAsia="Times New Roman" w:hAnsi="Times New Roman" w:cs="Traditional Arabic" w:hint="cs"/>
          <w:b/>
          <w:bCs/>
          <w:color w:val="000000"/>
          <w:sz w:val="20"/>
          <w:szCs w:val="32"/>
          <w:rtl/>
        </w:rPr>
        <w:t xml:space="preserve"> </w:t>
      </w:r>
      <w:r w:rsidR="00412C0F" w:rsidRPr="00381EA9">
        <w:rPr>
          <w:rFonts w:ascii="Times New Roman" w:eastAsia="Times New Roman" w:hAnsi="Times New Roman" w:cs="Traditional Arabic" w:hint="cs"/>
          <w:b/>
          <w:bCs/>
          <w:color w:val="000000"/>
          <w:sz w:val="20"/>
          <w:szCs w:val="32"/>
          <w:rtl/>
        </w:rPr>
        <w:t xml:space="preserve">  </w:t>
      </w:r>
    </w:p>
    <w:sectPr w:rsidR="00F94F24" w:rsidRPr="00381EA9" w:rsidSect="008C079B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1889F" w14:textId="77777777" w:rsidR="008C079B" w:rsidRDefault="008C079B" w:rsidP="00F94F24">
      <w:pPr>
        <w:spacing w:after="0" w:line="240" w:lineRule="auto"/>
      </w:pPr>
      <w:r>
        <w:separator/>
      </w:r>
    </w:p>
  </w:endnote>
  <w:endnote w:type="continuationSeparator" w:id="0">
    <w:p w14:paraId="58C635CE" w14:textId="77777777" w:rsidR="008C079B" w:rsidRDefault="008C079B" w:rsidP="00F9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DD4A" w14:textId="77777777" w:rsidR="008C079B" w:rsidRDefault="008C079B" w:rsidP="00F94F24">
      <w:pPr>
        <w:spacing w:after="0" w:line="240" w:lineRule="auto"/>
      </w:pPr>
      <w:r>
        <w:separator/>
      </w:r>
    </w:p>
  </w:footnote>
  <w:footnote w:type="continuationSeparator" w:id="0">
    <w:p w14:paraId="27218DE9" w14:textId="77777777" w:rsidR="008C079B" w:rsidRDefault="008C079B" w:rsidP="00F94F24">
      <w:pPr>
        <w:spacing w:after="0" w:line="240" w:lineRule="auto"/>
      </w:pPr>
      <w:r>
        <w:continuationSeparator/>
      </w:r>
    </w:p>
  </w:footnote>
  <w:footnote w:id="1">
    <w:p w14:paraId="121E3A78" w14:textId="1A31BE31" w:rsidR="00F672ED" w:rsidRPr="00C2527F" w:rsidRDefault="00F672ED" w:rsidP="00F672ED">
      <w:pPr>
        <w:pStyle w:val="FootnoteText"/>
        <w:bidi/>
        <w:jc w:val="lowKashida"/>
      </w:pPr>
      <w:r w:rsidRPr="00E3740B">
        <w:rPr>
          <w:rFonts w:cs="Traditional Arabic" w:hint="cs"/>
          <w:color w:val="000000"/>
          <w:rtl/>
        </w:rPr>
        <w:t>(</w:t>
      </w:r>
      <w:r w:rsidRPr="00E3740B">
        <w:rPr>
          <w:rStyle w:val="FootnoteReference"/>
          <w:rFonts w:cs="Traditional Arabic"/>
          <w:color w:val="000000"/>
        </w:rPr>
        <w:footnoteRef/>
      </w:r>
      <w:r w:rsidRPr="00E3740B">
        <w:rPr>
          <w:rFonts w:cs="Traditional Arabic" w:hint="cs"/>
          <w:color w:val="000000"/>
          <w:rtl/>
        </w:rPr>
        <w:t>)</w:t>
      </w:r>
      <w:r w:rsidRPr="00A42455">
        <w:rPr>
          <w:rFonts w:hint="cs"/>
          <w:b/>
          <w:bCs/>
          <w:rtl/>
        </w:rPr>
        <w:t xml:space="preserve"> </w:t>
      </w:r>
      <w:r w:rsidRPr="00F672ED">
        <w:rPr>
          <w:rFonts w:cs="Traditional Arabic" w:hint="cs"/>
          <w:color w:val="000000"/>
          <w:rtl/>
          <w:lang w:bidi="ar-DZ"/>
        </w:rPr>
        <w:t xml:space="preserve">حسن رواه </w:t>
      </w:r>
      <w:r w:rsidRPr="00F672ED">
        <w:rPr>
          <w:rFonts w:cs="Traditional Arabic"/>
          <w:color w:val="000000"/>
          <w:rtl/>
          <w:lang w:bidi="ar-DZ"/>
        </w:rPr>
        <w:t xml:space="preserve">ابن حجر العسقلاني </w:t>
      </w:r>
      <w:r w:rsidRPr="00F672ED">
        <w:rPr>
          <w:rFonts w:cs="Traditional Arabic" w:hint="cs"/>
          <w:color w:val="000000"/>
          <w:rtl/>
          <w:lang w:bidi="ar-DZ"/>
        </w:rPr>
        <w:t xml:space="preserve">في </w:t>
      </w:r>
      <w:r w:rsidRPr="00F672ED">
        <w:rPr>
          <w:rFonts w:cs="Traditional Arabic"/>
          <w:color w:val="000000"/>
          <w:rtl/>
          <w:lang w:bidi="ar-DZ"/>
        </w:rPr>
        <w:t>الفتوحات الربانية</w:t>
      </w:r>
      <w:r w:rsidR="00E676CC">
        <w:rPr>
          <w:rFonts w:cs="Traditional Arabic" w:hint="cs"/>
          <w:color w:val="000000"/>
          <w:rtl/>
          <w:lang w:bidi="ar-DZ"/>
        </w:rPr>
        <w:t xml:space="preserve"> برقم 116</w:t>
      </w:r>
      <w:r w:rsidR="00E676CC">
        <w:rPr>
          <w:rFonts w:cs="Traditional Arabic"/>
          <w:color w:val="000000"/>
          <w:lang w:val="en-GB" w:bidi="ar-DZ"/>
        </w:rPr>
        <w:t>/</w:t>
      </w:r>
      <w:r w:rsidR="00E676CC">
        <w:rPr>
          <w:rFonts w:cs="Traditional Arabic" w:hint="cs"/>
          <w:color w:val="000000"/>
          <w:rtl/>
        </w:rPr>
        <w:t>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2D"/>
    <w:rsid w:val="00023BD3"/>
    <w:rsid w:val="0011393A"/>
    <w:rsid w:val="001831DD"/>
    <w:rsid w:val="001A2A6E"/>
    <w:rsid w:val="001A36E8"/>
    <w:rsid w:val="00251793"/>
    <w:rsid w:val="002723DC"/>
    <w:rsid w:val="002C6C76"/>
    <w:rsid w:val="002D4CF7"/>
    <w:rsid w:val="00316214"/>
    <w:rsid w:val="003213EE"/>
    <w:rsid w:val="00356681"/>
    <w:rsid w:val="00381EA9"/>
    <w:rsid w:val="003B141A"/>
    <w:rsid w:val="003D0877"/>
    <w:rsid w:val="00412C0F"/>
    <w:rsid w:val="004268B2"/>
    <w:rsid w:val="004B4B42"/>
    <w:rsid w:val="004D7913"/>
    <w:rsid w:val="00544A9B"/>
    <w:rsid w:val="005B19F6"/>
    <w:rsid w:val="005C3DE9"/>
    <w:rsid w:val="00605440"/>
    <w:rsid w:val="006C24E7"/>
    <w:rsid w:val="007436F9"/>
    <w:rsid w:val="008537F0"/>
    <w:rsid w:val="008C079B"/>
    <w:rsid w:val="009C3E32"/>
    <w:rsid w:val="00A417D8"/>
    <w:rsid w:val="00C2718B"/>
    <w:rsid w:val="00CB03F6"/>
    <w:rsid w:val="00CC3C6B"/>
    <w:rsid w:val="00DA696C"/>
    <w:rsid w:val="00DD5BF3"/>
    <w:rsid w:val="00DF5D56"/>
    <w:rsid w:val="00E05D48"/>
    <w:rsid w:val="00E676CC"/>
    <w:rsid w:val="00EA7793"/>
    <w:rsid w:val="00EB18C7"/>
    <w:rsid w:val="00F433F1"/>
    <w:rsid w:val="00F672ED"/>
    <w:rsid w:val="00F94F24"/>
    <w:rsid w:val="00FC322D"/>
    <w:rsid w:val="00FC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EBA3"/>
  <w15:chartTrackingRefBased/>
  <w15:docId w15:val="{157EE063-3004-410F-9EBB-05F8358C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7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ok-info-subtitle1">
    <w:name w:val="book-info-subtitle1"/>
    <w:rsid w:val="00F94F24"/>
    <w:rPr>
      <w:rFonts w:ascii="Tahoma" w:hAnsi="Tahoma" w:cs="Tahoma" w:hint="default"/>
      <w:color w:val="800000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F94F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F94F24"/>
    <w:rPr>
      <w:sz w:val="20"/>
      <w:szCs w:val="20"/>
    </w:rPr>
  </w:style>
  <w:style w:type="character" w:styleId="FootnoteReference">
    <w:name w:val="footnote reference"/>
    <w:unhideWhenUsed/>
    <w:rsid w:val="00F94F24"/>
    <w:rPr>
      <w:vertAlign w:val="superscript"/>
    </w:rPr>
  </w:style>
  <w:style w:type="character" w:customStyle="1" w:styleId="s1">
    <w:name w:val="s1"/>
    <w:rsid w:val="00316214"/>
  </w:style>
  <w:style w:type="character" w:customStyle="1" w:styleId="s2">
    <w:name w:val="s2"/>
    <w:rsid w:val="00316214"/>
  </w:style>
  <w:style w:type="character" w:styleId="Strong">
    <w:name w:val="Strong"/>
    <w:uiPriority w:val="22"/>
    <w:qFormat/>
    <w:rsid w:val="00E676CC"/>
    <w:rPr>
      <w:b/>
      <w:bCs/>
    </w:rPr>
  </w:style>
  <w:style w:type="character" w:customStyle="1" w:styleId="primary-text-color">
    <w:name w:val="primary-text-color"/>
    <w:basedOn w:val="DefaultParagraphFont"/>
    <w:rsid w:val="00E67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8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FE5B-3A51-4FD5-890C-77C72D12C5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6ff3442-8d53-4fe0-9f6b-87c380fcf3da}" enabled="1" method="Standard" siteId="{35a64048-2473-4987-92d2-88a2b87ed4a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Hakam A. Zummo</dc:creator>
  <cp:keywords/>
  <dc:description/>
  <cp:lastModifiedBy>Hakam A. Zummo</cp:lastModifiedBy>
  <cp:revision>5</cp:revision>
  <cp:lastPrinted>2024-04-18T11:11:00Z</cp:lastPrinted>
  <dcterms:created xsi:type="dcterms:W3CDTF">2024-04-18T11:10:00Z</dcterms:created>
  <dcterms:modified xsi:type="dcterms:W3CDTF">2024-04-18T11:13:00Z</dcterms:modified>
</cp:coreProperties>
</file>