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7E" w:rsidRPr="00CE66F6" w:rsidRDefault="004B1B7E" w:rsidP="004B1B7E">
      <w:pPr>
        <w:rPr>
          <w:rFonts w:asciiTheme="majorBidi" w:hAnsiTheme="majorBidi" w:cstheme="majorBidi"/>
        </w:rPr>
      </w:pPr>
    </w:p>
    <w:p w:rsidR="004B1B7E" w:rsidRDefault="00FD2997" w:rsidP="004B1B7E">
      <w:pPr>
        <w:jc w:val="right"/>
        <w:rPr>
          <w:color w:val="7F7F7F"/>
          <w:sz w:val="32"/>
          <w:szCs w:val="32"/>
        </w:rPr>
      </w:pPr>
      <w:r w:rsidRPr="00FD2997">
        <w:rPr>
          <w:noProof/>
          <w:color w:val="C4BC96"/>
          <w:sz w:val="32"/>
          <w:szCs w:val="32"/>
          <w:lang w:eastAsia="en-US"/>
        </w:rPr>
        <w:pict>
          <v:group id="_x0000_s1026" style="position:absolute;left:0;text-align:left;margin-left:0;margin-top:0;width:610.2pt;height:790.2pt;z-index:-251659264;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4B1B7E" w:rsidTr="004F442D">
        <w:tc>
          <w:tcPr>
            <w:tcW w:w="9576" w:type="dxa"/>
          </w:tcPr>
          <w:p w:rsidR="004B1B7E" w:rsidRDefault="004B1B7E" w:rsidP="004F442D">
            <w:pPr>
              <w:jc w:val="center"/>
              <w:rPr>
                <w:rFonts w:asciiTheme="majorBidi" w:hAnsiTheme="majorBidi" w:cstheme="majorBidi"/>
                <w:b/>
                <w:bCs/>
                <w:i/>
                <w:iCs/>
                <w:color w:val="FFFFFF" w:themeColor="background1"/>
                <w:sz w:val="32"/>
                <w:szCs w:val="32"/>
              </w:rPr>
            </w:pPr>
          </w:p>
          <w:p w:rsidR="004B1B7E" w:rsidRDefault="004B1B7E" w:rsidP="004F442D">
            <w:pPr>
              <w:jc w:val="center"/>
              <w:rPr>
                <w:rFonts w:asciiTheme="majorBidi" w:hAnsiTheme="majorBidi" w:cstheme="majorBidi"/>
                <w:b/>
                <w:bCs/>
                <w:i/>
                <w:iCs/>
                <w:color w:val="FFFFFF" w:themeColor="background1"/>
                <w:sz w:val="32"/>
                <w:szCs w:val="32"/>
              </w:rPr>
            </w:pPr>
          </w:p>
          <w:p w:rsidR="004B1B7E" w:rsidRPr="00DF0A1F" w:rsidRDefault="004B1B7E" w:rsidP="004B1B7E">
            <w:pPr>
              <w:jc w:val="center"/>
              <w:rPr>
                <w:rFonts w:asciiTheme="majorBidi" w:hAnsiTheme="majorBidi" w:cstheme="majorBidi"/>
                <w:b/>
                <w:bCs/>
                <w:i/>
                <w:iCs/>
                <w:color w:val="FFFFFF" w:themeColor="background1"/>
                <w:sz w:val="32"/>
                <w:szCs w:val="32"/>
              </w:rPr>
            </w:pPr>
            <w:r w:rsidRPr="00DF0A1F">
              <w:rPr>
                <w:rFonts w:asciiTheme="majorBidi" w:hAnsiTheme="majorBidi" w:cstheme="majorBidi"/>
                <w:b/>
                <w:bCs/>
                <w:i/>
                <w:iCs/>
                <w:color w:val="FFFFFF" w:themeColor="background1"/>
                <w:sz w:val="32"/>
                <w:szCs w:val="32"/>
              </w:rPr>
              <w:t>Par l’im</w:t>
            </w:r>
            <w:r>
              <w:rPr>
                <w:rFonts w:asciiTheme="majorBidi" w:hAnsiTheme="majorBidi" w:cstheme="majorBidi"/>
                <w:b/>
                <w:bCs/>
                <w:i/>
                <w:iCs/>
                <w:color w:val="FFFFFF" w:themeColor="background1"/>
                <w:sz w:val="32"/>
                <w:szCs w:val="32"/>
              </w:rPr>
              <w:t>â</w:t>
            </w:r>
            <w:r w:rsidRPr="00DF0A1F">
              <w:rPr>
                <w:rFonts w:asciiTheme="majorBidi" w:hAnsiTheme="majorBidi" w:cstheme="majorBidi"/>
                <w:b/>
                <w:bCs/>
                <w:i/>
                <w:iCs/>
                <w:color w:val="FFFFFF" w:themeColor="background1"/>
                <w:sz w:val="32"/>
                <w:szCs w:val="32"/>
              </w:rPr>
              <w:t xml:space="preserve">m </w:t>
            </w:r>
            <w:r>
              <w:rPr>
                <w:rFonts w:asciiTheme="majorBidi" w:hAnsiTheme="majorBidi" w:cstheme="majorBidi"/>
                <w:b/>
                <w:bCs/>
                <w:i/>
                <w:iCs/>
                <w:color w:val="FFFFFF" w:themeColor="background1"/>
                <w:sz w:val="32"/>
                <w:szCs w:val="32"/>
              </w:rPr>
              <w:t>Isma‘il Ibn Kathir</w:t>
            </w:r>
          </w:p>
          <w:p w:rsidR="004B1B7E" w:rsidRPr="00C20D4E" w:rsidRDefault="004B1B7E" w:rsidP="004F442D">
            <w:pPr>
              <w:pStyle w:val="Sansinterligne"/>
              <w:jc w:val="center"/>
              <w:rPr>
                <w:color w:val="7F7F7F"/>
                <w:sz w:val="32"/>
                <w:szCs w:val="32"/>
              </w:rPr>
            </w:pPr>
          </w:p>
        </w:tc>
      </w:tr>
    </w:tbl>
    <w:p w:rsidR="004B1B7E" w:rsidRDefault="004B1B7E" w:rsidP="004B1B7E">
      <w:pPr>
        <w:jc w:val="right"/>
        <w:rPr>
          <w:color w:val="7F7F7F"/>
          <w:sz w:val="32"/>
          <w:szCs w:val="32"/>
        </w:rPr>
      </w:pPr>
    </w:p>
    <w:p w:rsidR="00B0362A" w:rsidRPr="003B3D71" w:rsidRDefault="00FD2997" w:rsidP="003B3D71">
      <w:pPr>
        <w:jc w:val="center"/>
      </w:pPr>
      <w:r w:rsidRPr="00FD2997">
        <w:rPr>
          <w:noProof/>
          <w:color w:val="C4BC96"/>
          <w:sz w:val="32"/>
          <w:szCs w:val="32"/>
          <w:lang w:eastAsia="en-US"/>
        </w:rPr>
        <w:pict>
          <v:rect id="_x0000_s1029" style="position:absolute;left:0;text-align:left;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4B1B7E" w:rsidRPr="00344919" w:rsidTr="00855F53">
                    <w:trPr>
                      <w:trHeight w:val="1080"/>
                    </w:trPr>
                    <w:tc>
                      <w:tcPr>
                        <w:tcW w:w="1000" w:type="pct"/>
                        <w:shd w:val="clear" w:color="auto" w:fill="000000"/>
                        <w:vAlign w:val="center"/>
                      </w:tcPr>
                      <w:p w:rsidR="004B1B7E" w:rsidRPr="00344919" w:rsidRDefault="004B1B7E" w:rsidP="00CB7712">
                        <w:pPr>
                          <w:jc w:val="center"/>
                          <w:rPr>
                            <w:smallCaps/>
                            <w:sz w:val="48"/>
                            <w:szCs w:val="48"/>
                          </w:rPr>
                        </w:pPr>
                        <w:r w:rsidRPr="00344919">
                          <w:rPr>
                            <w:smallCaps/>
                            <w:noProof/>
                            <w:sz w:val="48"/>
                            <w:szCs w:val="48"/>
                          </w:rPr>
                          <w:drawing>
                            <wp:inline distT="0" distB="0" distL="0" distR="0">
                              <wp:extent cx="1275080" cy="958215"/>
                              <wp:effectExtent l="19050" t="0" r="127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6"/>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4B1B7E" w:rsidRPr="003B3D71" w:rsidRDefault="003B3D71" w:rsidP="003B3D71">
                        <w:pPr>
                          <w:widowControl w:val="0"/>
                          <w:adjustRightInd w:val="0"/>
                          <w:spacing w:after="100"/>
                          <w:rPr>
                            <w:color w:val="FFFFFF" w:themeColor="background1"/>
                            <w:sz w:val="34"/>
                            <w:szCs w:val="34"/>
                          </w:rPr>
                        </w:pPr>
                        <w:r w:rsidRPr="003B3D71">
                          <w:rPr>
                            <w:b/>
                            <w:bCs/>
                            <w:sz w:val="34"/>
                            <w:szCs w:val="34"/>
                          </w:rPr>
                          <w:t xml:space="preserve">L’histoire du christianisme : </w:t>
                        </w:r>
                        <w:r>
                          <w:rPr>
                            <w:b/>
                            <w:bCs/>
                            <w:sz w:val="34"/>
                            <w:szCs w:val="34"/>
                          </w:rPr>
                          <w:t>D</w:t>
                        </w:r>
                        <w:r w:rsidRPr="003B3D71">
                          <w:rPr>
                            <w:b/>
                            <w:bCs/>
                            <w:sz w:val="34"/>
                            <w:szCs w:val="34"/>
                          </w:rPr>
                          <w:t>ivergences</w:t>
                        </w:r>
                        <w:r>
                          <w:rPr>
                            <w:b/>
                            <w:bCs/>
                            <w:sz w:val="34"/>
                            <w:szCs w:val="34"/>
                          </w:rPr>
                          <w:t>,</w:t>
                        </w:r>
                        <w:r w:rsidRPr="003B3D71">
                          <w:rPr>
                            <w:b/>
                            <w:bCs/>
                            <w:sz w:val="34"/>
                            <w:szCs w:val="34"/>
                          </w:rPr>
                          <w:t xml:space="preserve"> éloignement des enseignements du Prophète ‘Îssâ et l'établissement du dogme chrétien officiel</w:t>
                        </w:r>
                        <w:r>
                          <w:rPr>
                            <w:b/>
                            <w:bCs/>
                            <w:sz w:val="34"/>
                            <w:szCs w:val="34"/>
                          </w:rPr>
                          <w:t>.</w:t>
                        </w:r>
                        <w:r w:rsidR="004B1B7E" w:rsidRPr="003B3D71">
                          <w:rPr>
                            <w:rStyle w:val="lev"/>
                            <w:rFonts w:asciiTheme="majorBidi" w:eastAsiaTheme="majorEastAsia" w:hAnsiTheme="majorBidi"/>
                            <w:color w:val="FFFFFF" w:themeColor="background1"/>
                            <w:sz w:val="34"/>
                            <w:szCs w:val="34"/>
                          </w:rPr>
                          <w:t xml:space="preserve"> </w:t>
                        </w:r>
                        <w:r w:rsidR="004B1B7E" w:rsidRPr="003B3D71">
                          <w:rPr>
                            <w:color w:val="FFFFFF" w:themeColor="background1"/>
                            <w:sz w:val="34"/>
                            <w:szCs w:val="34"/>
                          </w:rPr>
                          <w:t xml:space="preserve"> </w:t>
                        </w:r>
                      </w:p>
                    </w:tc>
                  </w:tr>
                </w:tbl>
                <w:p w:rsidR="004B1B7E" w:rsidRPr="00344919" w:rsidRDefault="004B1B7E" w:rsidP="004B1B7E">
                  <w:pPr>
                    <w:pStyle w:val="Sansinterligne"/>
                    <w:spacing w:line="14" w:lineRule="exact"/>
                    <w:rPr>
                      <w:sz w:val="48"/>
                      <w:szCs w:val="48"/>
                    </w:rPr>
                  </w:pPr>
                </w:p>
              </w:txbxContent>
            </v:textbox>
            <w10:wrap anchorx="page" anchory="page"/>
          </v:rect>
        </w:pict>
      </w:r>
      <w:r w:rsidR="004B1B7E">
        <w:br w:type="page"/>
      </w:r>
      <w:r w:rsidR="003B3D71">
        <w:rPr>
          <w:noProof/>
        </w:rPr>
        <w:lastRenderedPageBreak/>
        <w:drawing>
          <wp:inline distT="0" distB="0" distL="0" distR="0">
            <wp:extent cx="2533650" cy="2667000"/>
            <wp:effectExtent l="19050" t="0" r="0" b="0"/>
            <wp:docPr id="2" name="Image 1" descr="bismi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g"/>
                    <pic:cNvPicPr/>
                  </pic:nvPicPr>
                  <pic:blipFill>
                    <a:blip r:embed="rId7" cstate="print"/>
                    <a:stretch>
                      <a:fillRect/>
                    </a:stretch>
                  </pic:blipFill>
                  <pic:spPr>
                    <a:xfrm>
                      <a:off x="0" y="0"/>
                      <a:ext cx="2533650" cy="2667000"/>
                    </a:xfrm>
                    <a:prstGeom prst="rect">
                      <a:avLst/>
                    </a:prstGeom>
                  </pic:spPr>
                </pic:pic>
              </a:graphicData>
            </a:graphic>
          </wp:inline>
        </w:drawing>
      </w:r>
    </w:p>
    <w:p w:rsidR="00B0362A" w:rsidRPr="00BF5F18" w:rsidRDefault="003B3D71" w:rsidP="00AF2993">
      <w:pPr>
        <w:spacing w:before="100" w:beforeAutospacing="1"/>
        <w:rPr>
          <w:rFonts w:asciiTheme="majorBidi" w:hAnsiTheme="majorBidi" w:cstheme="majorBidi"/>
        </w:rPr>
      </w:pPr>
      <w:r w:rsidRPr="00BF5F18">
        <w:rPr>
          <w:rFonts w:asciiTheme="majorBidi" w:hAnsiTheme="majorBidi" w:cstheme="majorBidi"/>
        </w:rPr>
        <w:t xml:space="preserve"> </w:t>
      </w:r>
      <w:r w:rsidR="00B0362A" w:rsidRPr="00BF5F18">
        <w:rPr>
          <w:rFonts w:asciiTheme="majorBidi" w:hAnsiTheme="majorBidi" w:cstheme="majorBidi"/>
        </w:rPr>
        <w:t xml:space="preserve">Après l'élévation de </w:t>
      </w:r>
      <w:r w:rsidRPr="00BF5F18">
        <w:rPr>
          <w:rFonts w:asciiTheme="majorBidi" w:hAnsiTheme="majorBidi" w:cstheme="majorBidi"/>
        </w:rPr>
        <w:t>‘</w:t>
      </w:r>
      <w:r w:rsidR="00B0362A" w:rsidRPr="00BF5F18">
        <w:rPr>
          <w:rFonts w:asciiTheme="majorBidi" w:hAnsiTheme="majorBidi" w:cstheme="majorBidi"/>
        </w:rPr>
        <w:t>Îs</w:t>
      </w:r>
      <w:r w:rsidRPr="00BF5F18">
        <w:rPr>
          <w:rFonts w:asciiTheme="majorBidi" w:hAnsiTheme="majorBidi" w:cstheme="majorBidi"/>
        </w:rPr>
        <w:t>s</w:t>
      </w:r>
      <w:r w:rsidR="00B0362A" w:rsidRPr="00BF5F18">
        <w:rPr>
          <w:rFonts w:asciiTheme="majorBidi" w:hAnsiTheme="majorBidi" w:cstheme="majorBidi"/>
        </w:rPr>
        <w:t xml:space="preserve">â </w:t>
      </w:r>
      <w:r w:rsidRPr="00BF5F18">
        <w:rPr>
          <w:rFonts w:asciiTheme="majorBidi" w:hAnsiTheme="majorBidi" w:cstheme="majorBidi"/>
        </w:rPr>
        <w:t>-</w:t>
      </w:r>
      <w:r w:rsidRPr="00BF5F18">
        <w:rPr>
          <w:rFonts w:asciiTheme="majorBidi" w:hAnsiTheme="majorBidi" w:cstheme="majorBidi"/>
          <w:i/>
          <w:iCs/>
        </w:rPr>
        <w:t>‘</w:t>
      </w:r>
      <w:proofErr w:type="spellStart"/>
      <w:r w:rsidRPr="00BF5F18">
        <w:rPr>
          <w:rFonts w:asciiTheme="majorBidi" w:hAnsiTheme="majorBidi" w:cstheme="majorBidi"/>
          <w:i/>
          <w:iCs/>
        </w:rPr>
        <w:t>aleyhi</w:t>
      </w:r>
      <w:proofErr w:type="spellEnd"/>
      <w:r w:rsidRPr="00BF5F18">
        <w:rPr>
          <w:rFonts w:asciiTheme="majorBidi" w:hAnsiTheme="majorBidi" w:cstheme="majorBidi"/>
          <w:i/>
          <w:iCs/>
        </w:rPr>
        <w:t xml:space="preserve"> </w:t>
      </w:r>
      <w:proofErr w:type="spellStart"/>
      <w:r w:rsidRPr="00BF5F18">
        <w:rPr>
          <w:rFonts w:asciiTheme="majorBidi" w:hAnsiTheme="majorBidi" w:cstheme="majorBidi"/>
          <w:i/>
          <w:iCs/>
        </w:rPr>
        <w:t>sallam</w:t>
      </w:r>
      <w:proofErr w:type="spellEnd"/>
      <w:r w:rsidRPr="00BF5F18">
        <w:rPr>
          <w:rFonts w:asciiTheme="majorBidi" w:hAnsiTheme="majorBidi" w:cstheme="majorBidi"/>
        </w:rPr>
        <w:t>-</w:t>
      </w:r>
      <w:r w:rsidR="00B0362A" w:rsidRPr="00BF5F18">
        <w:rPr>
          <w:rFonts w:asciiTheme="majorBidi" w:hAnsiTheme="majorBidi" w:cstheme="majorBidi"/>
        </w:rPr>
        <w:t xml:space="preserve"> au ciel, ses disciples se divisèrent en plusieurs tendances concernant son cas, comme le rapporta Ibn 'Abbâs et d'autres savants parmi les vertueux prédécesseurs </w:t>
      </w:r>
      <w:r w:rsidR="00B0362A" w:rsidRPr="00BF5F18">
        <w:rPr>
          <w:rFonts w:asciiTheme="majorBidi" w:hAnsiTheme="majorBidi" w:cstheme="majorBidi"/>
          <w:i/>
          <w:iCs/>
        </w:rPr>
        <w:t>(</w:t>
      </w:r>
      <w:proofErr w:type="spellStart"/>
      <w:r w:rsidR="00B0362A" w:rsidRPr="00BF5F18">
        <w:rPr>
          <w:rFonts w:asciiTheme="majorBidi" w:hAnsiTheme="majorBidi" w:cstheme="majorBidi"/>
          <w:i/>
          <w:iCs/>
        </w:rPr>
        <w:t>salaf</w:t>
      </w:r>
      <w:proofErr w:type="spellEnd"/>
      <w:r w:rsidR="00B0362A" w:rsidRPr="00BF5F18">
        <w:rPr>
          <w:rFonts w:asciiTheme="majorBidi" w:hAnsiTheme="majorBidi" w:cstheme="majorBidi"/>
          <w:i/>
          <w:iCs/>
        </w:rPr>
        <w:t xml:space="preserve"> u</w:t>
      </w:r>
      <w:r w:rsidR="00B0362A" w:rsidRPr="00BF5F18">
        <w:rPr>
          <w:rFonts w:asciiTheme="majorBidi" w:hAnsiTheme="majorBidi" w:cstheme="majorBidi"/>
          <w:i/>
          <w:iCs/>
          <w:u w:val="single"/>
        </w:rPr>
        <w:t>s</w:t>
      </w:r>
      <w:r w:rsidR="00B0362A" w:rsidRPr="00BF5F18">
        <w:rPr>
          <w:rFonts w:asciiTheme="majorBidi" w:hAnsiTheme="majorBidi" w:cstheme="majorBidi"/>
        </w:rPr>
        <w:t xml:space="preserve"> </w:t>
      </w:r>
      <w:proofErr w:type="spellStart"/>
      <w:r w:rsidR="00B0362A" w:rsidRPr="00BF5F18">
        <w:rPr>
          <w:rFonts w:asciiTheme="majorBidi" w:hAnsiTheme="majorBidi" w:cstheme="majorBidi"/>
          <w:i/>
          <w:iCs/>
          <w:u w:val="single"/>
        </w:rPr>
        <w:t>s</w:t>
      </w:r>
      <w:r w:rsidR="00B0362A" w:rsidRPr="00BF5F18">
        <w:rPr>
          <w:rFonts w:asciiTheme="majorBidi" w:hAnsiTheme="majorBidi" w:cstheme="majorBidi"/>
          <w:i/>
          <w:iCs/>
        </w:rPr>
        <w:t>âli</w:t>
      </w:r>
      <w:r w:rsidR="00B0362A" w:rsidRPr="00BF5F18">
        <w:rPr>
          <w:rFonts w:asciiTheme="majorBidi" w:hAnsiTheme="majorBidi" w:cstheme="majorBidi"/>
          <w:i/>
          <w:iCs/>
          <w:u w:val="single"/>
        </w:rPr>
        <w:t>h</w:t>
      </w:r>
      <w:proofErr w:type="spellEnd"/>
      <w:r w:rsidR="00B0362A" w:rsidRPr="00BF5F18">
        <w:rPr>
          <w:rFonts w:asciiTheme="majorBidi" w:hAnsiTheme="majorBidi" w:cstheme="majorBidi"/>
          <w:i/>
          <w:iCs/>
        </w:rPr>
        <w:t>)</w:t>
      </w:r>
      <w:r w:rsidR="00B0362A" w:rsidRPr="00BF5F18">
        <w:rPr>
          <w:rFonts w:asciiTheme="majorBidi" w:hAnsiTheme="majorBidi" w:cstheme="majorBidi"/>
        </w:rPr>
        <w:t xml:space="preserve">.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Ibn 'Abbâs </w:t>
      </w:r>
      <w:r w:rsidR="003B3D71" w:rsidRPr="00BF5F18">
        <w:rPr>
          <w:rFonts w:asciiTheme="majorBidi" w:hAnsiTheme="majorBidi" w:cstheme="majorBidi"/>
        </w:rPr>
        <w:t>-</w:t>
      </w:r>
      <w:r w:rsidR="003B3D71" w:rsidRPr="00BF5F18">
        <w:rPr>
          <w:rFonts w:asciiTheme="majorBidi" w:hAnsiTheme="majorBidi" w:cstheme="majorBidi"/>
          <w:i/>
          <w:iCs/>
        </w:rPr>
        <w:t>qu’Allah l’agrée</w:t>
      </w:r>
      <w:r w:rsidR="003B3D71" w:rsidRPr="00BF5F18">
        <w:rPr>
          <w:rFonts w:asciiTheme="majorBidi" w:hAnsiTheme="majorBidi" w:cstheme="majorBidi"/>
        </w:rPr>
        <w:t xml:space="preserve">- </w:t>
      </w:r>
      <w:r w:rsidRPr="00BF5F18">
        <w:rPr>
          <w:rFonts w:asciiTheme="majorBidi" w:hAnsiTheme="majorBidi" w:cstheme="majorBidi"/>
        </w:rPr>
        <w:t xml:space="preserve">a ainsi dit : </w:t>
      </w:r>
    </w:p>
    <w:p w:rsidR="00B0362A" w:rsidRPr="00BF5F18" w:rsidRDefault="00B0362A" w:rsidP="003B3D71">
      <w:pPr>
        <w:spacing w:before="100" w:beforeAutospacing="1"/>
        <w:rPr>
          <w:rFonts w:asciiTheme="majorBidi" w:hAnsiTheme="majorBidi" w:cstheme="majorBidi"/>
          <w:b/>
          <w:bCs/>
          <w:color w:val="002060"/>
        </w:rPr>
      </w:pPr>
      <w:r w:rsidRPr="00BF5F18">
        <w:rPr>
          <w:rFonts w:asciiTheme="majorBidi" w:hAnsiTheme="majorBidi" w:cstheme="majorBidi"/>
        </w:rPr>
        <w:t>« </w:t>
      </w:r>
      <w:r w:rsidRPr="00BF5F18">
        <w:rPr>
          <w:rFonts w:asciiTheme="majorBidi" w:hAnsiTheme="majorBidi" w:cstheme="majorBidi"/>
          <w:b/>
          <w:bCs/>
          <w:color w:val="002060"/>
        </w:rPr>
        <w:t>Certains d'entre eux ont dit : « Il était parmi nous le serviteur et le Messager d'</w:t>
      </w:r>
      <w:proofErr w:type="spellStart"/>
      <w:r w:rsidRPr="00BF5F18">
        <w:rPr>
          <w:rFonts w:asciiTheme="majorBidi" w:hAnsiTheme="majorBidi" w:cstheme="majorBidi"/>
          <w:b/>
          <w:bCs/>
          <w:color w:val="002060"/>
        </w:rPr>
        <w:t>Allâh</w:t>
      </w:r>
      <w:proofErr w:type="spellEnd"/>
      <w:r w:rsidRPr="00BF5F18">
        <w:rPr>
          <w:rFonts w:asciiTheme="majorBidi" w:hAnsiTheme="majorBidi" w:cstheme="majorBidi"/>
          <w:b/>
          <w:bCs/>
          <w:color w:val="002060"/>
        </w:rPr>
        <w:t xml:space="preserve">, et il fut élevé au ciel », d'autres ont dit : « Il est </w:t>
      </w:r>
      <w:proofErr w:type="spellStart"/>
      <w:r w:rsidRPr="00BF5F18">
        <w:rPr>
          <w:rFonts w:asciiTheme="majorBidi" w:hAnsiTheme="majorBidi" w:cstheme="majorBidi"/>
          <w:b/>
          <w:bCs/>
          <w:color w:val="002060"/>
        </w:rPr>
        <w:t>Allâh</w:t>
      </w:r>
      <w:proofErr w:type="spellEnd"/>
      <w:r w:rsidRPr="00BF5F18">
        <w:rPr>
          <w:rFonts w:asciiTheme="majorBidi" w:hAnsiTheme="majorBidi" w:cstheme="majorBidi"/>
          <w:b/>
          <w:bCs/>
          <w:color w:val="002060"/>
        </w:rPr>
        <w:t> », tandis que d'autres affirmèrent : « Il est le fils d'</w:t>
      </w:r>
      <w:proofErr w:type="spellStart"/>
      <w:r w:rsidRPr="00BF5F18">
        <w:rPr>
          <w:rFonts w:asciiTheme="majorBidi" w:hAnsiTheme="majorBidi" w:cstheme="majorBidi"/>
          <w:b/>
          <w:bCs/>
          <w:color w:val="002060"/>
        </w:rPr>
        <w:t>Allâh</w:t>
      </w:r>
      <w:proofErr w:type="spellEnd"/>
      <w:r w:rsidRPr="00BF5F18">
        <w:rPr>
          <w:rFonts w:asciiTheme="majorBidi" w:hAnsiTheme="majorBidi" w:cstheme="majorBidi"/>
          <w:b/>
          <w:bCs/>
          <w:color w:val="002060"/>
        </w:rPr>
        <w:t xml:space="preserve"> ».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b/>
          <w:bCs/>
          <w:color w:val="002060"/>
        </w:rPr>
        <w:t>Les partisans de la première opinion sont ceux qui sont dans la juste voie, et les deux autres opinions constituent une mécréance manifeste, comme Il l'a dit (qu'Il soit exalté) : « </w:t>
      </w:r>
      <w:r w:rsidRPr="00BF5F18">
        <w:rPr>
          <w:rFonts w:asciiTheme="majorBidi" w:hAnsiTheme="majorBidi" w:cstheme="majorBidi"/>
          <w:b/>
          <w:bCs/>
          <w:color w:val="FF0000"/>
        </w:rPr>
        <w:t>Les factions divergèrent entre elles, malheur donc à ceux qui n'ont pas cru au rassemblement d'un jour terrifiant !</w:t>
      </w:r>
      <w:r w:rsidRPr="00BF5F18">
        <w:rPr>
          <w:rFonts w:asciiTheme="majorBidi" w:hAnsiTheme="majorBidi" w:cstheme="majorBidi"/>
          <w:b/>
          <w:bCs/>
          <w:color w:val="002060"/>
        </w:rPr>
        <w:t> » [S</w:t>
      </w:r>
      <w:r w:rsidR="003B3D71" w:rsidRPr="00BF5F18">
        <w:rPr>
          <w:rFonts w:asciiTheme="majorBidi" w:hAnsiTheme="majorBidi" w:cstheme="majorBidi"/>
          <w:b/>
          <w:bCs/>
          <w:color w:val="002060"/>
        </w:rPr>
        <w:t>ourate</w:t>
      </w:r>
      <w:r w:rsidRPr="00BF5F18">
        <w:rPr>
          <w:rFonts w:asciiTheme="majorBidi" w:hAnsiTheme="majorBidi" w:cstheme="majorBidi"/>
          <w:b/>
          <w:bCs/>
          <w:color w:val="002060"/>
        </w:rPr>
        <w:t xml:space="preserve"> 19</w:t>
      </w:r>
      <w:r w:rsidR="003B3D71" w:rsidRPr="00BF5F18">
        <w:rPr>
          <w:rFonts w:asciiTheme="majorBidi" w:hAnsiTheme="majorBidi" w:cstheme="majorBidi"/>
          <w:b/>
          <w:bCs/>
          <w:color w:val="002060"/>
        </w:rPr>
        <w:t>, Verset</w:t>
      </w:r>
      <w:r w:rsidRPr="00BF5F18">
        <w:rPr>
          <w:rFonts w:asciiTheme="majorBidi" w:hAnsiTheme="majorBidi" w:cstheme="majorBidi"/>
          <w:b/>
          <w:bCs/>
          <w:color w:val="002060"/>
        </w:rPr>
        <w:t>].</w:t>
      </w:r>
      <w:r w:rsidRPr="00BF5F18">
        <w:rPr>
          <w:rFonts w:asciiTheme="majorBidi" w:hAnsiTheme="majorBidi" w:cstheme="majorBidi"/>
        </w:rPr>
        <w:t xml:space="preserve"> »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Ils divergèrent également dans la transmission de l'Évangile </w:t>
      </w:r>
      <w:r w:rsidRPr="00BF5F18">
        <w:rPr>
          <w:rFonts w:asciiTheme="majorBidi" w:hAnsiTheme="majorBidi" w:cstheme="majorBidi"/>
          <w:i/>
          <w:iCs/>
        </w:rPr>
        <w:t xml:space="preserve">(Al </w:t>
      </w:r>
      <w:proofErr w:type="spellStart"/>
      <w:r w:rsidRPr="00BF5F18">
        <w:rPr>
          <w:rFonts w:asciiTheme="majorBidi" w:hAnsiTheme="majorBidi" w:cstheme="majorBidi"/>
          <w:i/>
          <w:iCs/>
        </w:rPr>
        <w:t>Injîl</w:t>
      </w:r>
      <w:proofErr w:type="spellEnd"/>
      <w:r w:rsidRPr="00BF5F18">
        <w:rPr>
          <w:rFonts w:asciiTheme="majorBidi" w:hAnsiTheme="majorBidi" w:cstheme="majorBidi"/>
          <w:i/>
          <w:iCs/>
        </w:rPr>
        <w:t>)</w:t>
      </w:r>
      <w:r w:rsidRPr="00BF5F18">
        <w:rPr>
          <w:rFonts w:asciiTheme="majorBidi" w:hAnsiTheme="majorBidi" w:cstheme="majorBidi"/>
        </w:rPr>
        <w:t xml:space="preserve"> en quatre versions, entre des ajouts et des diminutions, des changements et des altérations, puis, 300 ans après la mort du Messie </w:t>
      </w:r>
      <w:r w:rsidRPr="00BF5F18">
        <w:rPr>
          <w:rFonts w:asciiTheme="majorBidi" w:hAnsiTheme="majorBidi" w:cstheme="majorBidi"/>
          <w:i/>
          <w:iCs/>
        </w:rPr>
        <w:t xml:space="preserve">(Al </w:t>
      </w:r>
      <w:proofErr w:type="spellStart"/>
      <w:r w:rsidRPr="00BF5F18">
        <w:rPr>
          <w:rFonts w:asciiTheme="majorBidi" w:hAnsiTheme="majorBidi" w:cstheme="majorBidi"/>
          <w:i/>
          <w:iCs/>
        </w:rPr>
        <w:t>Masî</w:t>
      </w:r>
      <w:r w:rsidRPr="00BF5F18">
        <w:rPr>
          <w:rFonts w:asciiTheme="majorBidi" w:hAnsiTheme="majorBidi" w:cstheme="majorBidi"/>
          <w:i/>
          <w:iCs/>
          <w:u w:val="single"/>
        </w:rPr>
        <w:t>h</w:t>
      </w:r>
      <w:proofErr w:type="spellEnd"/>
      <w:r w:rsidRPr="00BF5F18">
        <w:rPr>
          <w:rFonts w:asciiTheme="majorBidi" w:hAnsiTheme="majorBidi" w:cstheme="majorBidi"/>
          <w:i/>
          <w:iCs/>
        </w:rPr>
        <w:t>)</w:t>
      </w:r>
      <w:r w:rsidRPr="00BF5F18">
        <w:rPr>
          <w:rFonts w:asciiTheme="majorBidi" w:hAnsiTheme="majorBidi" w:cstheme="majorBidi"/>
        </w:rPr>
        <w:t xml:space="preserve">, eu lieu l'immense calamité et la grande épreuve...Les quatre cardinaux, les évêques, les prêtres, les abbés et les moines se divisèrent en plusieurs tendances autour de la nature du Messie. Ils se réunirent donc et sollicitèrent l'arbitrage de l'Empereur Constantin, le fondateur de Constantinople. Ceci constitua le premier synode. L'Empereur Constantin approuva l'opinion de la tendance qui avait le plus de partisans, ils furent appelés les melkites. Il réprima alors les autres tendances qui étaient opposées et les chassa. </w:t>
      </w:r>
    </w:p>
    <w:p w:rsidR="00B0362A" w:rsidRPr="00BF5F18" w:rsidRDefault="003B3D71" w:rsidP="003B3D71">
      <w:pPr>
        <w:spacing w:before="100" w:beforeAutospacing="1"/>
        <w:rPr>
          <w:rFonts w:asciiTheme="majorBidi" w:hAnsiTheme="majorBidi" w:cstheme="majorBidi"/>
        </w:rPr>
      </w:pPr>
      <w:r w:rsidRPr="00BF5F18">
        <w:rPr>
          <w:rFonts w:asciiTheme="majorBidi" w:hAnsiTheme="majorBidi" w:cstheme="majorBidi"/>
        </w:rPr>
        <w:t>‘</w:t>
      </w:r>
      <w:proofErr w:type="spellStart"/>
      <w:r w:rsidR="00B0362A" w:rsidRPr="00BF5F18">
        <w:rPr>
          <w:rFonts w:asciiTheme="majorBidi" w:hAnsiTheme="majorBidi" w:cstheme="majorBidi"/>
        </w:rPr>
        <w:t>Abdu</w:t>
      </w:r>
      <w:proofErr w:type="spellEnd"/>
      <w:r w:rsidR="00B0362A" w:rsidRPr="00BF5F18">
        <w:rPr>
          <w:rFonts w:asciiTheme="majorBidi" w:hAnsiTheme="majorBidi" w:cstheme="majorBidi"/>
        </w:rPr>
        <w:t xml:space="preserve"> </w:t>
      </w:r>
      <w:proofErr w:type="spellStart"/>
      <w:r w:rsidR="00B0362A" w:rsidRPr="00BF5F18">
        <w:rPr>
          <w:rFonts w:asciiTheme="majorBidi" w:hAnsiTheme="majorBidi" w:cstheme="majorBidi"/>
        </w:rPr>
        <w:t>Llâh</w:t>
      </w:r>
      <w:proofErr w:type="spellEnd"/>
      <w:r w:rsidR="00B0362A" w:rsidRPr="00BF5F18">
        <w:rPr>
          <w:rFonts w:asciiTheme="majorBidi" w:hAnsiTheme="majorBidi" w:cstheme="majorBidi"/>
        </w:rPr>
        <w:t xml:space="preserve"> Ibn Arius, qui soutenait la nature humaine et la fonction prophétique de </w:t>
      </w:r>
      <w:r w:rsidRPr="00BF5F18">
        <w:rPr>
          <w:rFonts w:asciiTheme="majorBidi" w:hAnsiTheme="majorBidi" w:cstheme="majorBidi"/>
        </w:rPr>
        <w:t>‘</w:t>
      </w:r>
      <w:r w:rsidR="00B0362A" w:rsidRPr="00BF5F18">
        <w:rPr>
          <w:rFonts w:asciiTheme="majorBidi" w:hAnsiTheme="majorBidi" w:cstheme="majorBidi"/>
        </w:rPr>
        <w:t>Îs</w:t>
      </w:r>
      <w:r w:rsidRPr="00BF5F18">
        <w:rPr>
          <w:rFonts w:asciiTheme="majorBidi" w:hAnsiTheme="majorBidi" w:cstheme="majorBidi"/>
        </w:rPr>
        <w:t>s</w:t>
      </w:r>
      <w:r w:rsidR="00B0362A" w:rsidRPr="00BF5F18">
        <w:rPr>
          <w:rFonts w:asciiTheme="majorBidi" w:hAnsiTheme="majorBidi" w:cstheme="majorBidi"/>
        </w:rPr>
        <w:t xml:space="preserve">â </w:t>
      </w:r>
      <w:r w:rsidRPr="00BF5F18">
        <w:rPr>
          <w:rFonts w:asciiTheme="majorBidi" w:hAnsiTheme="majorBidi" w:cstheme="majorBidi"/>
        </w:rPr>
        <w:t>-</w:t>
      </w:r>
      <w:r w:rsidRPr="00BF5F18">
        <w:rPr>
          <w:rFonts w:asciiTheme="majorBidi" w:hAnsiTheme="majorBidi" w:cstheme="majorBidi"/>
          <w:i/>
          <w:iCs/>
        </w:rPr>
        <w:t>‘</w:t>
      </w:r>
      <w:proofErr w:type="spellStart"/>
      <w:r w:rsidRPr="00BF5F18">
        <w:rPr>
          <w:rFonts w:asciiTheme="majorBidi" w:hAnsiTheme="majorBidi" w:cstheme="majorBidi"/>
          <w:i/>
          <w:iCs/>
        </w:rPr>
        <w:t>aleyhi</w:t>
      </w:r>
      <w:proofErr w:type="spellEnd"/>
      <w:r w:rsidRPr="00BF5F18">
        <w:rPr>
          <w:rFonts w:asciiTheme="majorBidi" w:hAnsiTheme="majorBidi" w:cstheme="majorBidi"/>
          <w:i/>
          <w:iCs/>
        </w:rPr>
        <w:t xml:space="preserve"> </w:t>
      </w:r>
      <w:proofErr w:type="spellStart"/>
      <w:r w:rsidRPr="00BF5F18">
        <w:rPr>
          <w:rFonts w:asciiTheme="majorBidi" w:hAnsiTheme="majorBidi" w:cstheme="majorBidi"/>
          <w:i/>
          <w:iCs/>
        </w:rPr>
        <w:t>sallam</w:t>
      </w:r>
      <w:proofErr w:type="spellEnd"/>
      <w:r w:rsidRPr="00BF5F18">
        <w:rPr>
          <w:rFonts w:asciiTheme="majorBidi" w:hAnsiTheme="majorBidi" w:cstheme="majorBidi"/>
        </w:rPr>
        <w:t>-</w:t>
      </w:r>
      <w:r w:rsidR="00B0362A" w:rsidRPr="00BF5F18">
        <w:rPr>
          <w:rFonts w:asciiTheme="majorBidi" w:hAnsiTheme="majorBidi" w:cstheme="majorBidi"/>
        </w:rPr>
        <w:t xml:space="preserve">, fut persécuté et trouva refuge dans les montagnes et les déserts. Ses partisans bâtirent des monastères et des forteresses et y vécurent dans l'ascétisme, refusant de fréquenter les autres tendances. </w:t>
      </w:r>
    </w:p>
    <w:p w:rsidR="00B0362A" w:rsidRPr="00BF5F18" w:rsidRDefault="00B0362A" w:rsidP="003B3D71">
      <w:pPr>
        <w:spacing w:before="100" w:beforeAutospacing="1"/>
        <w:rPr>
          <w:rFonts w:asciiTheme="majorBidi" w:hAnsiTheme="majorBidi" w:cstheme="majorBidi"/>
        </w:rPr>
      </w:pPr>
      <w:r w:rsidRPr="00BF5F18">
        <w:rPr>
          <w:rFonts w:asciiTheme="majorBidi" w:hAnsiTheme="majorBidi" w:cstheme="majorBidi"/>
        </w:rPr>
        <w:t xml:space="preserve">Quant </w:t>
      </w:r>
      <w:proofErr w:type="gramStart"/>
      <w:r w:rsidRPr="00BF5F18">
        <w:rPr>
          <w:rFonts w:asciiTheme="majorBidi" w:hAnsiTheme="majorBidi" w:cstheme="majorBidi"/>
        </w:rPr>
        <w:t>au melkites</w:t>
      </w:r>
      <w:proofErr w:type="gramEnd"/>
      <w:r w:rsidRPr="00BF5F18">
        <w:rPr>
          <w:rFonts w:asciiTheme="majorBidi" w:hAnsiTheme="majorBidi" w:cstheme="majorBidi"/>
        </w:rPr>
        <w:t xml:space="preserve">, ils bâtirent de grandes églises et ramenèrent des matériaux avec lesquels étaient bâtis les temples grecs afin de les utiliser dans leurs constructions. L'Empereur Constantin fit également construire la ville de Bethléem, à l'endroit où naquit le Messie, tandis que sa mère, Hélène, fit construire l'église de la résurrection sur l'emplacement de la tombe du crucifié, reconnaissant ainsi aux juifs qu'il s'agissait du Messie. </w:t>
      </w:r>
    </w:p>
    <w:p w:rsidR="00B0362A" w:rsidRPr="00BF5F18" w:rsidRDefault="00B0362A" w:rsidP="003B3D71">
      <w:pPr>
        <w:spacing w:before="100" w:beforeAutospacing="1"/>
        <w:rPr>
          <w:rFonts w:asciiTheme="majorBidi" w:hAnsiTheme="majorBidi" w:cstheme="majorBidi"/>
        </w:rPr>
      </w:pPr>
      <w:r w:rsidRPr="00BF5F18">
        <w:rPr>
          <w:rFonts w:asciiTheme="majorBidi" w:hAnsiTheme="majorBidi" w:cstheme="majorBidi"/>
        </w:rPr>
        <w:lastRenderedPageBreak/>
        <w:t>Mais tous sont dans la mécréance. Ils établirent des lois et des règles dont certaines sont contraires à la Torah. C'est ainsi qu'ils rendirent licites certaines choses pourtant mentionnées comme illicites dans la Torah, dont notamment la consommation du porc.</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Aussi, ils prièrent en direction de l'Est alors que le Messie n'avait prié qu'en direction du rocher du temple de Jérusalem, comme le firent aussi les autres Prophètes après </w:t>
      </w:r>
      <w:proofErr w:type="spellStart"/>
      <w:r w:rsidRPr="00BF5F18">
        <w:rPr>
          <w:rFonts w:asciiTheme="majorBidi" w:hAnsiTheme="majorBidi" w:cstheme="majorBidi"/>
        </w:rPr>
        <w:t>Mû</w:t>
      </w:r>
      <w:r w:rsidR="003B3D71" w:rsidRPr="00BF5F18">
        <w:rPr>
          <w:rFonts w:asciiTheme="majorBidi" w:hAnsiTheme="majorBidi" w:cstheme="majorBidi"/>
        </w:rPr>
        <w:t>s</w:t>
      </w:r>
      <w:r w:rsidRPr="00BF5F18">
        <w:rPr>
          <w:rFonts w:asciiTheme="majorBidi" w:hAnsiTheme="majorBidi" w:cstheme="majorBidi"/>
        </w:rPr>
        <w:t>sâ</w:t>
      </w:r>
      <w:proofErr w:type="spellEnd"/>
      <w:r w:rsidRPr="00BF5F18">
        <w:rPr>
          <w:rFonts w:asciiTheme="majorBidi" w:hAnsiTheme="majorBidi" w:cstheme="majorBidi"/>
        </w:rPr>
        <w:t xml:space="preserve"> </w:t>
      </w:r>
      <w:r w:rsidR="003B3D71" w:rsidRPr="00BF5F18">
        <w:rPr>
          <w:rFonts w:asciiTheme="majorBidi" w:hAnsiTheme="majorBidi" w:cstheme="majorBidi"/>
        </w:rPr>
        <w:t>-</w:t>
      </w:r>
      <w:r w:rsidR="003B3D71" w:rsidRPr="00BF5F18">
        <w:rPr>
          <w:rFonts w:asciiTheme="majorBidi" w:hAnsiTheme="majorBidi" w:cstheme="majorBidi"/>
          <w:i/>
          <w:iCs/>
        </w:rPr>
        <w:t>‘</w:t>
      </w:r>
      <w:proofErr w:type="spellStart"/>
      <w:r w:rsidR="003B3D71" w:rsidRPr="00BF5F18">
        <w:rPr>
          <w:rFonts w:asciiTheme="majorBidi" w:hAnsiTheme="majorBidi" w:cstheme="majorBidi"/>
          <w:i/>
          <w:iCs/>
        </w:rPr>
        <w:t>aleyhi</w:t>
      </w:r>
      <w:proofErr w:type="spellEnd"/>
      <w:r w:rsidR="003B3D71" w:rsidRPr="00BF5F18">
        <w:rPr>
          <w:rFonts w:asciiTheme="majorBidi" w:hAnsiTheme="majorBidi" w:cstheme="majorBidi"/>
          <w:i/>
          <w:iCs/>
        </w:rPr>
        <w:t xml:space="preserve"> </w:t>
      </w:r>
      <w:proofErr w:type="spellStart"/>
      <w:r w:rsidR="003B3D71" w:rsidRPr="00BF5F18">
        <w:rPr>
          <w:rFonts w:asciiTheme="majorBidi" w:hAnsiTheme="majorBidi" w:cstheme="majorBidi"/>
          <w:i/>
          <w:iCs/>
        </w:rPr>
        <w:t>sallam</w:t>
      </w:r>
      <w:proofErr w:type="spellEnd"/>
      <w:r w:rsidR="003B3D71" w:rsidRPr="00BF5F18">
        <w:rPr>
          <w:rFonts w:asciiTheme="majorBidi" w:hAnsiTheme="majorBidi" w:cstheme="majorBidi"/>
        </w:rPr>
        <w:t>-</w:t>
      </w:r>
      <w:r w:rsidRPr="00BF5F18">
        <w:rPr>
          <w:rFonts w:asciiTheme="majorBidi" w:hAnsiTheme="majorBidi" w:cstheme="majorBidi"/>
        </w:rPr>
        <w:t>. Le dernier des Prophètes, Mu</w:t>
      </w:r>
      <w:r w:rsidRPr="00BF5F18">
        <w:rPr>
          <w:rFonts w:asciiTheme="majorBidi" w:hAnsiTheme="majorBidi" w:cstheme="majorBidi"/>
          <w:u w:val="single"/>
        </w:rPr>
        <w:t>h</w:t>
      </w:r>
      <w:r w:rsidRPr="00BF5F18">
        <w:rPr>
          <w:rFonts w:asciiTheme="majorBidi" w:hAnsiTheme="majorBidi" w:cstheme="majorBidi"/>
        </w:rPr>
        <w:t xml:space="preserve">ammad </w:t>
      </w:r>
      <w:r w:rsidR="003B3D71" w:rsidRPr="00BF5F18">
        <w:rPr>
          <w:rFonts w:asciiTheme="majorBidi" w:hAnsiTheme="majorBidi" w:cstheme="majorBidi"/>
        </w:rPr>
        <w:t>-</w:t>
      </w:r>
      <w:proofErr w:type="spellStart"/>
      <w:r w:rsidR="003B3D71" w:rsidRPr="00BF5F18">
        <w:rPr>
          <w:rFonts w:asciiTheme="majorBidi" w:hAnsiTheme="majorBidi" w:cstheme="majorBidi"/>
          <w:i/>
          <w:iCs/>
        </w:rPr>
        <w:t>sallâ</w:t>
      </w:r>
      <w:proofErr w:type="spellEnd"/>
      <w:r w:rsidR="003B3D71" w:rsidRPr="00BF5F18">
        <w:rPr>
          <w:rFonts w:asciiTheme="majorBidi" w:hAnsiTheme="majorBidi" w:cstheme="majorBidi"/>
          <w:i/>
          <w:iCs/>
        </w:rPr>
        <w:t xml:space="preserve"> l-</w:t>
      </w:r>
      <w:proofErr w:type="spellStart"/>
      <w:r w:rsidR="003B3D71" w:rsidRPr="00BF5F18">
        <w:rPr>
          <w:rFonts w:asciiTheme="majorBidi" w:hAnsiTheme="majorBidi" w:cstheme="majorBidi"/>
          <w:i/>
          <w:iCs/>
        </w:rPr>
        <w:t>Lahû</w:t>
      </w:r>
      <w:proofErr w:type="spellEnd"/>
      <w:r w:rsidR="003B3D71" w:rsidRPr="00BF5F18">
        <w:rPr>
          <w:rFonts w:asciiTheme="majorBidi" w:hAnsiTheme="majorBidi" w:cstheme="majorBidi"/>
          <w:i/>
          <w:iCs/>
        </w:rPr>
        <w:t xml:space="preserve"> ‘</w:t>
      </w:r>
      <w:proofErr w:type="spellStart"/>
      <w:r w:rsidR="003B3D71" w:rsidRPr="00BF5F18">
        <w:rPr>
          <w:rFonts w:asciiTheme="majorBidi" w:hAnsiTheme="majorBidi" w:cstheme="majorBidi"/>
          <w:i/>
          <w:iCs/>
        </w:rPr>
        <w:t>aleyhi</w:t>
      </w:r>
      <w:proofErr w:type="spellEnd"/>
      <w:r w:rsidR="003B3D71" w:rsidRPr="00BF5F18">
        <w:rPr>
          <w:rFonts w:asciiTheme="majorBidi" w:hAnsiTheme="majorBidi" w:cstheme="majorBidi"/>
          <w:i/>
          <w:iCs/>
        </w:rPr>
        <w:t xml:space="preserve"> </w:t>
      </w:r>
      <w:proofErr w:type="spellStart"/>
      <w:r w:rsidR="003B3D71" w:rsidRPr="00BF5F18">
        <w:rPr>
          <w:rFonts w:asciiTheme="majorBidi" w:hAnsiTheme="majorBidi" w:cstheme="majorBidi"/>
          <w:i/>
          <w:iCs/>
        </w:rPr>
        <w:t>wa</w:t>
      </w:r>
      <w:proofErr w:type="spellEnd"/>
      <w:r w:rsidR="003B3D71" w:rsidRPr="00BF5F18">
        <w:rPr>
          <w:rFonts w:asciiTheme="majorBidi" w:hAnsiTheme="majorBidi" w:cstheme="majorBidi"/>
          <w:i/>
          <w:iCs/>
        </w:rPr>
        <w:t xml:space="preserve"> </w:t>
      </w:r>
      <w:proofErr w:type="spellStart"/>
      <w:r w:rsidR="003B3D71" w:rsidRPr="00BF5F18">
        <w:rPr>
          <w:rFonts w:asciiTheme="majorBidi" w:hAnsiTheme="majorBidi" w:cstheme="majorBidi"/>
          <w:i/>
          <w:iCs/>
        </w:rPr>
        <w:t>sallam</w:t>
      </w:r>
      <w:proofErr w:type="spellEnd"/>
      <w:r w:rsidR="003B3D71" w:rsidRPr="00BF5F18">
        <w:rPr>
          <w:rFonts w:asciiTheme="majorBidi" w:hAnsiTheme="majorBidi" w:cstheme="majorBidi"/>
        </w:rPr>
        <w:t>-</w:t>
      </w:r>
      <w:r w:rsidRPr="00BF5F18">
        <w:rPr>
          <w:rFonts w:asciiTheme="majorBidi" w:hAnsiTheme="majorBidi" w:cstheme="majorBidi"/>
        </w:rPr>
        <w:t xml:space="preserve">, avait également prié en direction de Jérusalem durant 16 ou 17 mois, après son émigration à Médine, avant de se diriger ensuite vers la </w:t>
      </w:r>
      <w:proofErr w:type="spellStart"/>
      <w:r w:rsidRPr="00BF5F18">
        <w:rPr>
          <w:rFonts w:asciiTheme="majorBidi" w:hAnsiTheme="majorBidi" w:cstheme="majorBidi"/>
        </w:rPr>
        <w:t>Ka</w:t>
      </w:r>
      <w:r w:rsidR="00AF2993" w:rsidRPr="00BF5F18">
        <w:rPr>
          <w:rFonts w:asciiTheme="majorBidi" w:hAnsiTheme="majorBidi" w:cstheme="majorBidi"/>
        </w:rPr>
        <w:t>‘</w:t>
      </w:r>
      <w:r w:rsidRPr="00BF5F18">
        <w:rPr>
          <w:rFonts w:asciiTheme="majorBidi" w:hAnsiTheme="majorBidi" w:cstheme="majorBidi"/>
        </w:rPr>
        <w:t>bah</w:t>
      </w:r>
      <w:proofErr w:type="spellEnd"/>
      <w:r w:rsidRPr="00BF5F18">
        <w:rPr>
          <w:rFonts w:asciiTheme="majorBidi" w:hAnsiTheme="majorBidi" w:cstheme="majorBidi"/>
        </w:rPr>
        <w:t xml:space="preserve"> qu'avait construite </w:t>
      </w:r>
      <w:proofErr w:type="spellStart"/>
      <w:r w:rsidRPr="00BF5F18">
        <w:rPr>
          <w:rFonts w:asciiTheme="majorBidi" w:hAnsiTheme="majorBidi" w:cstheme="majorBidi"/>
        </w:rPr>
        <w:t>Ibrâhîm</w:t>
      </w:r>
      <w:proofErr w:type="spellEnd"/>
      <w:r w:rsidRPr="00BF5F18">
        <w:rPr>
          <w:rFonts w:asciiTheme="majorBidi" w:hAnsiTheme="majorBidi" w:cstheme="majorBidi"/>
        </w:rPr>
        <w:t xml:space="preserve"> </w:t>
      </w:r>
      <w:r w:rsidR="00AF2993" w:rsidRPr="00BF5F18">
        <w:rPr>
          <w:rFonts w:asciiTheme="majorBidi" w:hAnsiTheme="majorBidi" w:cstheme="majorBidi"/>
        </w:rPr>
        <w:t>-</w:t>
      </w:r>
      <w:r w:rsidR="00AF2993" w:rsidRPr="00BF5F18">
        <w:rPr>
          <w:rFonts w:asciiTheme="majorBidi" w:hAnsiTheme="majorBidi" w:cstheme="majorBidi"/>
          <w:i/>
          <w:iCs/>
        </w:rPr>
        <w:t>‘</w:t>
      </w:r>
      <w:proofErr w:type="spellStart"/>
      <w:r w:rsidR="00AF2993" w:rsidRPr="00BF5F18">
        <w:rPr>
          <w:rFonts w:asciiTheme="majorBidi" w:hAnsiTheme="majorBidi" w:cstheme="majorBidi"/>
          <w:i/>
          <w:iCs/>
        </w:rPr>
        <w:t>aleyhi</w:t>
      </w:r>
      <w:proofErr w:type="spellEnd"/>
      <w:r w:rsidR="00AF2993" w:rsidRPr="00BF5F18">
        <w:rPr>
          <w:rFonts w:asciiTheme="majorBidi" w:hAnsiTheme="majorBidi" w:cstheme="majorBidi"/>
          <w:i/>
          <w:iCs/>
        </w:rPr>
        <w:t xml:space="preserve"> </w:t>
      </w:r>
      <w:proofErr w:type="spellStart"/>
      <w:r w:rsidR="00AF2993" w:rsidRPr="00BF5F18">
        <w:rPr>
          <w:rFonts w:asciiTheme="majorBidi" w:hAnsiTheme="majorBidi" w:cstheme="majorBidi"/>
          <w:i/>
          <w:iCs/>
        </w:rPr>
        <w:t>sallam</w:t>
      </w:r>
      <w:proofErr w:type="spellEnd"/>
      <w:r w:rsidR="00AF2993" w:rsidRPr="00BF5F18">
        <w:rPr>
          <w:rFonts w:asciiTheme="majorBidi" w:hAnsiTheme="majorBidi" w:cstheme="majorBidi"/>
        </w:rPr>
        <w:t>-</w:t>
      </w:r>
      <w:r w:rsidRPr="00BF5F18">
        <w:rPr>
          <w:rFonts w:asciiTheme="majorBidi" w:hAnsiTheme="majorBidi" w:cstheme="majorBidi"/>
        </w:rPr>
        <w:t xml:space="preserve">.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Ils mirent également des icônes dans les églises alors qu'il n'y en avait pas auparavant, et établirent un dogme qu'ils apprenaient aux enfants, à leurs femmes et aux hommes parmi eux, qu'ils appellent la catéchèse, mais en vérité, tout cela ne constitue que mécréance et infamie.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L'ensemble des partisans de la doctrine melkite et de la doctrine nestorienne, les auteurs du deuxième synode, ainsi que les partisans de la doctrine jacobite de Jacob El </w:t>
      </w:r>
      <w:proofErr w:type="spellStart"/>
      <w:r w:rsidRPr="00BF5F18">
        <w:rPr>
          <w:rFonts w:asciiTheme="majorBidi" w:hAnsiTheme="majorBidi" w:cstheme="majorBidi"/>
        </w:rPr>
        <w:t>Brad</w:t>
      </w:r>
      <w:r w:rsidR="00AF2993" w:rsidRPr="00BF5F18">
        <w:rPr>
          <w:rFonts w:asciiTheme="majorBidi" w:hAnsiTheme="majorBidi" w:cstheme="majorBidi"/>
        </w:rPr>
        <w:t>‘</w:t>
      </w:r>
      <w:r w:rsidRPr="00BF5F18">
        <w:rPr>
          <w:rFonts w:asciiTheme="majorBidi" w:hAnsiTheme="majorBidi" w:cstheme="majorBidi"/>
        </w:rPr>
        <w:t>ï</w:t>
      </w:r>
      <w:proofErr w:type="spellEnd"/>
      <w:r w:rsidRPr="00BF5F18">
        <w:rPr>
          <w:rFonts w:asciiTheme="majorBidi" w:hAnsiTheme="majorBidi" w:cstheme="majorBidi"/>
        </w:rPr>
        <w:t xml:space="preserve">, les auteurs du troisième synode, adoptent cette profession de foi tout en divergeant dans leurs interprétations. </w:t>
      </w:r>
    </w:p>
    <w:p w:rsidR="00B0362A" w:rsidRPr="00BF5F18" w:rsidRDefault="00B0362A" w:rsidP="00AF2993">
      <w:pPr>
        <w:spacing w:before="100" w:beforeAutospacing="1"/>
        <w:rPr>
          <w:rFonts w:asciiTheme="majorBidi" w:hAnsiTheme="majorBidi" w:cstheme="majorBidi"/>
        </w:rPr>
      </w:pPr>
      <w:r w:rsidRPr="00BF5F18">
        <w:rPr>
          <w:rFonts w:asciiTheme="majorBidi" w:hAnsiTheme="majorBidi" w:cstheme="majorBidi"/>
        </w:rPr>
        <w:t xml:space="preserve">Voici cette profession de foi, comme je vais la rapporter ici, avec ses aberrations et ses excès, tout en sachant que celui qui ne fait que rapporter ce qui relève de la mécréance ne peut être traité de mécréant pour cela. C'est ainsi qu'ils prétendent : </w:t>
      </w:r>
    </w:p>
    <w:p w:rsidR="00B0362A" w:rsidRPr="00BF5F18" w:rsidRDefault="00B0362A" w:rsidP="00B0362A">
      <w:pPr>
        <w:spacing w:before="100" w:beforeAutospacing="1"/>
        <w:rPr>
          <w:rFonts w:asciiTheme="majorBidi" w:hAnsiTheme="majorBidi" w:cstheme="majorBidi"/>
        </w:rPr>
      </w:pPr>
      <w:r w:rsidRPr="00BF5F18">
        <w:rPr>
          <w:rFonts w:asciiTheme="majorBidi" w:hAnsiTheme="majorBidi" w:cstheme="majorBidi"/>
        </w:rPr>
        <w:t>« </w:t>
      </w:r>
      <w:r w:rsidRPr="00BF5F18">
        <w:rPr>
          <w:rFonts w:asciiTheme="majorBidi" w:hAnsiTheme="majorBidi" w:cstheme="majorBidi"/>
          <w:b/>
          <w:bCs/>
        </w:rPr>
        <w:t xml:space="preserve">Nous croyons en un Dieu unique qui dirige toute chose. Il est Le Créateur des cieux et de la terre, de tout ce qui se voit et de tout ce qui ne se voit pas. Nous croyons donc en un seul Dieu, Jésus, le Messie, le fils du Dieu unique, né du Père dans la </w:t>
      </w:r>
      <w:proofErr w:type="spellStart"/>
      <w:r w:rsidRPr="00BF5F18">
        <w:rPr>
          <w:rFonts w:asciiTheme="majorBidi" w:hAnsiTheme="majorBidi" w:cstheme="majorBidi"/>
          <w:b/>
          <w:bCs/>
        </w:rPr>
        <w:t>pré-éternité</w:t>
      </w:r>
      <w:proofErr w:type="spellEnd"/>
      <w:r w:rsidRPr="00BF5F18">
        <w:rPr>
          <w:rFonts w:asciiTheme="majorBidi" w:hAnsiTheme="majorBidi" w:cstheme="majorBidi"/>
          <w:b/>
          <w:bCs/>
        </w:rPr>
        <w:t>. C'est une lumière issue d'une lumière, un Dieu vrai issu d'un Dieu vrai, à la fois né et non créé, il participe avec le Père dans son essence qui est à l'origine de toute chose. A cause de nous, les êtres humains, et pour notre salut, il est descendu du ciel et s'est incarné à partir de l'Esprit Saint et de la vierge Marie. Il fut crucifié à l'époque de Ponce Pilate, souffrit et fut enterré. Puis, il ressuscita trois jours plus tard, comme cela est mentionné dans les livres. Il monta ensuite au ciel et s'assit à la droite du Seigneur. Il viendra aussi avec son corps afin de juger les vivants et les morts. Son royaume n'a pas de fin. L'Esprit Saint, le seigneur vivant, émanant du Père et avec le Père, tandis que le fils, lui est prosterné. Et par la gloire qui s'exprime à travers les Prophètes, je reconnais une seule servitude pour le pardon des péchés. Et je crois également à la résurrection des morts et à la vie éternelle. Amen.</w:t>
      </w:r>
      <w:r w:rsidRPr="00BF5F18">
        <w:rPr>
          <w:rFonts w:asciiTheme="majorBidi" w:hAnsiTheme="majorBidi" w:cstheme="majorBidi"/>
        </w:rPr>
        <w:t> ». </w:t>
      </w:r>
    </w:p>
    <w:p w:rsidR="00B0362A" w:rsidRPr="00BF5F18" w:rsidRDefault="00B0362A" w:rsidP="003B3D71">
      <w:pPr>
        <w:spacing w:before="100" w:beforeAutospacing="1"/>
        <w:rPr>
          <w:rFonts w:asciiTheme="majorBidi" w:hAnsiTheme="majorBidi" w:cstheme="majorBidi"/>
        </w:rPr>
      </w:pPr>
      <w:r w:rsidRPr="00BF5F18">
        <w:rPr>
          <w:rFonts w:asciiTheme="majorBidi" w:hAnsiTheme="majorBidi" w:cstheme="majorBidi"/>
        </w:rPr>
        <w:t xml:space="preserve">    </w:t>
      </w:r>
    </w:p>
    <w:p w:rsidR="00B0362A" w:rsidRPr="00BF5F18" w:rsidRDefault="00B0362A" w:rsidP="003B3D71">
      <w:pPr>
        <w:spacing w:before="100" w:beforeAutospacing="1"/>
        <w:rPr>
          <w:rFonts w:asciiTheme="majorBidi" w:hAnsiTheme="majorBidi" w:cstheme="majorBidi"/>
        </w:rPr>
      </w:pPr>
      <w:r w:rsidRPr="00BF5F18">
        <w:rPr>
          <w:rFonts w:asciiTheme="majorBidi" w:hAnsiTheme="majorBidi" w:cstheme="majorBidi"/>
          <w:b/>
          <w:bCs/>
          <w:color w:val="000000"/>
          <w:u w:val="single"/>
        </w:rPr>
        <w:t>Source</w:t>
      </w:r>
      <w:r w:rsidRPr="00BF5F18">
        <w:rPr>
          <w:rFonts w:asciiTheme="majorBidi" w:hAnsiTheme="majorBidi" w:cstheme="majorBidi"/>
          <w:color w:val="000000"/>
        </w:rPr>
        <w:t xml:space="preserve"> : Al </w:t>
      </w:r>
      <w:proofErr w:type="spellStart"/>
      <w:r w:rsidRPr="00BF5F18">
        <w:rPr>
          <w:rFonts w:asciiTheme="majorBidi" w:hAnsiTheme="majorBidi" w:cstheme="majorBidi"/>
          <w:color w:val="000000"/>
        </w:rPr>
        <w:t>Bidâyah</w:t>
      </w:r>
      <w:proofErr w:type="spellEnd"/>
      <w:r w:rsidRPr="00BF5F18">
        <w:rPr>
          <w:rFonts w:asciiTheme="majorBidi" w:hAnsiTheme="majorBidi" w:cstheme="majorBidi"/>
          <w:color w:val="000000"/>
        </w:rPr>
        <w:t xml:space="preserve"> </w:t>
      </w:r>
      <w:proofErr w:type="spellStart"/>
      <w:r w:rsidRPr="00BF5F18">
        <w:rPr>
          <w:rFonts w:asciiTheme="majorBidi" w:hAnsiTheme="majorBidi" w:cstheme="majorBidi"/>
          <w:color w:val="000000"/>
        </w:rPr>
        <w:t>wa</w:t>
      </w:r>
      <w:proofErr w:type="spellEnd"/>
      <w:r w:rsidRPr="00BF5F18">
        <w:rPr>
          <w:rFonts w:asciiTheme="majorBidi" w:hAnsiTheme="majorBidi" w:cstheme="majorBidi"/>
          <w:color w:val="000000"/>
        </w:rPr>
        <w:t xml:space="preserve"> An</w:t>
      </w:r>
      <w:r w:rsidR="003B3D71" w:rsidRPr="00BF5F18">
        <w:rPr>
          <w:rFonts w:asciiTheme="majorBidi" w:hAnsiTheme="majorBidi" w:cstheme="majorBidi"/>
          <w:color w:val="000000"/>
        </w:rPr>
        <w:t>-</w:t>
      </w:r>
      <w:proofErr w:type="spellStart"/>
      <w:r w:rsidRPr="00BF5F18">
        <w:rPr>
          <w:rFonts w:asciiTheme="majorBidi" w:hAnsiTheme="majorBidi" w:cstheme="majorBidi"/>
          <w:color w:val="000000"/>
        </w:rPr>
        <w:t>Nihâyah</w:t>
      </w:r>
      <w:proofErr w:type="spellEnd"/>
      <w:r w:rsidR="003B3D71" w:rsidRPr="00BF5F18">
        <w:rPr>
          <w:rFonts w:asciiTheme="majorBidi" w:hAnsiTheme="majorBidi" w:cstheme="majorBidi"/>
          <w:color w:val="000000"/>
        </w:rPr>
        <w:t>.</w:t>
      </w:r>
    </w:p>
    <w:sectPr w:rsidR="00B0362A" w:rsidRPr="00BF5F18" w:rsidSect="00AF2993">
      <w:footerReference w:type="default" r:id="rId8"/>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34" w:rsidRDefault="00D02834" w:rsidP="00AF2993">
      <w:r>
        <w:separator/>
      </w:r>
    </w:p>
  </w:endnote>
  <w:endnote w:type="continuationSeparator" w:id="0">
    <w:p w:rsidR="00D02834" w:rsidRDefault="00D02834" w:rsidP="00AF29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12993433"/>
      <w:docPartObj>
        <w:docPartGallery w:val="Page Numbers (Bottom of Page)"/>
        <w:docPartUnique/>
      </w:docPartObj>
    </w:sdtPr>
    <w:sdtContent>
      <w:p w:rsidR="00AF2993" w:rsidRPr="001F033B" w:rsidRDefault="00FD2997" w:rsidP="00AF2993">
        <w:pPr>
          <w:pStyle w:val="Pieddepage"/>
          <w:jc w:val="center"/>
          <w:rPr>
            <w:rFonts w:asciiTheme="majorBidi" w:hAnsiTheme="majorBidi" w:cstheme="majorBidi"/>
            <w:b/>
            <w:bCs/>
            <w:sz w:val="26"/>
            <w:szCs w:val="26"/>
          </w:rPr>
        </w:pPr>
        <w:r w:rsidRPr="00FD2997">
          <w:rPr>
            <w:noProof/>
            <w:sz w:val="26"/>
            <w:szCs w:val="26"/>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left:0;text-align:left;margin-left:0;margin-top:5.15pt;width:35.45pt;height:30.25pt;z-index:251658240;mso-top-percent:70;mso-position-horizontal:left;mso-position-horizontal-relative:right-margin-area;mso-position-vertical-relative:bottom-margin-area;mso-top-percent:70" o:allowincell="f" adj="14135" strokecolor="gray [1629]" strokeweight=".25pt">
              <v:textbox style="mso-next-textbox:#_x0000_s3073">
                <w:txbxContent>
                  <w:p w:rsidR="00AF2993" w:rsidRPr="001F033B" w:rsidRDefault="00FD2997" w:rsidP="00AF2993">
                    <w:pPr>
                      <w:jc w:val="center"/>
                      <w:rPr>
                        <w:b/>
                        <w:bCs/>
                      </w:rPr>
                    </w:pPr>
                    <w:r w:rsidRPr="001F033B">
                      <w:rPr>
                        <w:b/>
                        <w:bCs/>
                      </w:rPr>
                      <w:fldChar w:fldCharType="begin"/>
                    </w:r>
                    <w:r w:rsidR="00AF2993" w:rsidRPr="001F033B">
                      <w:rPr>
                        <w:b/>
                        <w:bCs/>
                      </w:rPr>
                      <w:instrText xml:space="preserve"> PAGE    \* MERGEFORMAT </w:instrText>
                    </w:r>
                    <w:r w:rsidRPr="001F033B">
                      <w:rPr>
                        <w:b/>
                        <w:bCs/>
                      </w:rPr>
                      <w:fldChar w:fldCharType="separate"/>
                    </w:r>
                    <w:r w:rsidR="00BF5F18">
                      <w:rPr>
                        <w:b/>
                        <w:bCs/>
                        <w:noProof/>
                      </w:rPr>
                      <w:t>3</w:t>
                    </w:r>
                    <w:r w:rsidRPr="001F033B">
                      <w:rPr>
                        <w:b/>
                        <w:bCs/>
                      </w:rPr>
                      <w:fldChar w:fldCharType="end"/>
                    </w:r>
                  </w:p>
                </w:txbxContent>
              </v:textbox>
              <w10:wrap anchorx="page" anchory="page"/>
            </v:shape>
          </w:pict>
        </w:r>
        <w:sdt>
          <w:sdtPr>
            <w:rPr>
              <w:rFonts w:asciiTheme="majorBidi" w:hAnsiTheme="majorBidi" w:cstheme="majorBidi"/>
              <w:b/>
              <w:bCs/>
              <w:sz w:val="26"/>
              <w:szCs w:val="26"/>
            </w:rPr>
            <w:id w:val="66406374"/>
            <w:docPartObj>
              <w:docPartGallery w:val="Page Numbers (Bottom of Page)"/>
              <w:docPartUnique/>
            </w:docPartObj>
          </w:sdtPr>
          <w:sdtContent>
            <w:hyperlink r:id="rId1" w:history="1">
              <w:r w:rsidR="00AF2993" w:rsidRPr="001F033B">
                <w:rPr>
                  <w:rStyle w:val="Lienhypertexte"/>
                  <w:rFonts w:asciiTheme="majorBidi" w:eastAsiaTheme="majorEastAsia" w:hAnsiTheme="majorBidi"/>
                  <w:b/>
                  <w:bCs/>
                  <w:sz w:val="26"/>
                  <w:szCs w:val="26"/>
                </w:rPr>
                <w:t>http://bibliotheque-islamique-coran-sunna.over-blog.com/</w:t>
              </w:r>
            </w:hyperlink>
            <w:r w:rsidRPr="00FD2997">
              <w:rPr>
                <w:sz w:val="26"/>
                <w:szCs w:val="26"/>
              </w:rPr>
              <w:pict>
                <v:shapetype id="_x0000_t32" coordsize="21600,21600" o:spt="32" o:oned="t" path="m,l21600,21600e" filled="f">
                  <v:path arrowok="t" fillok="f" o:connecttype="none"/>
                  <o:lock v:ext="edit" shapetype="t"/>
                </v:shapetype>
                <v:shape id="_x0000_s3074"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sdtContent>
        </w:sdt>
      </w:p>
    </w:sdtContent>
  </w:sdt>
  <w:p w:rsidR="00AF2993" w:rsidRDefault="00AF29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34" w:rsidRDefault="00D02834" w:rsidP="00AF2993">
      <w:r>
        <w:separator/>
      </w:r>
    </w:p>
  </w:footnote>
  <w:footnote w:type="continuationSeparator" w:id="0">
    <w:p w:rsidR="00D02834" w:rsidRDefault="00D02834" w:rsidP="00AF2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3"/>
      <o:rules v:ext="edit">
        <o:r id="V:Rule2" type="connector" idref="#_x0000_s3074"/>
      </o:rules>
    </o:shapelayout>
  </w:hdrShapeDefaults>
  <w:footnotePr>
    <w:footnote w:id="-1"/>
    <w:footnote w:id="0"/>
  </w:footnotePr>
  <w:endnotePr>
    <w:endnote w:id="-1"/>
    <w:endnote w:id="0"/>
  </w:endnotePr>
  <w:compat/>
  <w:rsids>
    <w:rsidRoot w:val="00B0362A"/>
    <w:rsid w:val="00027B22"/>
    <w:rsid w:val="00044B3B"/>
    <w:rsid w:val="000C0174"/>
    <w:rsid w:val="001044C0"/>
    <w:rsid w:val="00107DEC"/>
    <w:rsid w:val="00152159"/>
    <w:rsid w:val="00155319"/>
    <w:rsid w:val="001C28F7"/>
    <w:rsid w:val="00244602"/>
    <w:rsid w:val="002852C3"/>
    <w:rsid w:val="00300C8F"/>
    <w:rsid w:val="00376300"/>
    <w:rsid w:val="003B3D71"/>
    <w:rsid w:val="003C1DFB"/>
    <w:rsid w:val="003C21F7"/>
    <w:rsid w:val="003D3DCC"/>
    <w:rsid w:val="00401A2D"/>
    <w:rsid w:val="0041290C"/>
    <w:rsid w:val="00463B17"/>
    <w:rsid w:val="004B08AB"/>
    <w:rsid w:val="004B1B7E"/>
    <w:rsid w:val="00574E95"/>
    <w:rsid w:val="00576D00"/>
    <w:rsid w:val="00584A92"/>
    <w:rsid w:val="005C627F"/>
    <w:rsid w:val="005D4304"/>
    <w:rsid w:val="005F2C01"/>
    <w:rsid w:val="00610866"/>
    <w:rsid w:val="00616207"/>
    <w:rsid w:val="0067161B"/>
    <w:rsid w:val="00702CE1"/>
    <w:rsid w:val="00704369"/>
    <w:rsid w:val="00727289"/>
    <w:rsid w:val="00741238"/>
    <w:rsid w:val="00762C54"/>
    <w:rsid w:val="00764046"/>
    <w:rsid w:val="0079737A"/>
    <w:rsid w:val="007A55E2"/>
    <w:rsid w:val="007F5F17"/>
    <w:rsid w:val="008514F4"/>
    <w:rsid w:val="008610BB"/>
    <w:rsid w:val="008C115B"/>
    <w:rsid w:val="00915D23"/>
    <w:rsid w:val="00932B9E"/>
    <w:rsid w:val="00937064"/>
    <w:rsid w:val="009912A1"/>
    <w:rsid w:val="00994B1C"/>
    <w:rsid w:val="009965BA"/>
    <w:rsid w:val="009A61DA"/>
    <w:rsid w:val="00AF2993"/>
    <w:rsid w:val="00B0362A"/>
    <w:rsid w:val="00B1200F"/>
    <w:rsid w:val="00B51E11"/>
    <w:rsid w:val="00BB0B50"/>
    <w:rsid w:val="00BD7CC8"/>
    <w:rsid w:val="00BF5F18"/>
    <w:rsid w:val="00C53C52"/>
    <w:rsid w:val="00C56B86"/>
    <w:rsid w:val="00CC1704"/>
    <w:rsid w:val="00CD4EBD"/>
    <w:rsid w:val="00D02834"/>
    <w:rsid w:val="00D15EBD"/>
    <w:rsid w:val="00ED292B"/>
    <w:rsid w:val="00ED5324"/>
    <w:rsid w:val="00EE3A29"/>
    <w:rsid w:val="00F15898"/>
    <w:rsid w:val="00FD114A"/>
    <w:rsid w:val="00FD2997"/>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B0362A"/>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itre2Car">
    <w:name w:val="Titre 2 Car"/>
    <w:basedOn w:val="Policepardfaut"/>
    <w:link w:val="Titre2"/>
    <w:uiPriority w:val="9"/>
    <w:rsid w:val="00B0362A"/>
    <w:rPr>
      <w:b/>
      <w:bCs/>
      <w:sz w:val="36"/>
      <w:szCs w:val="36"/>
    </w:rPr>
  </w:style>
  <w:style w:type="character" w:customStyle="1" w:styleId="text">
    <w:name w:val="text"/>
    <w:basedOn w:val="Policepardfaut"/>
    <w:rsid w:val="00B0362A"/>
  </w:style>
  <w:style w:type="character" w:customStyle="1" w:styleId="dow">
    <w:name w:val="dow"/>
    <w:basedOn w:val="Policepardfaut"/>
    <w:rsid w:val="00B0362A"/>
  </w:style>
  <w:style w:type="character" w:customStyle="1" w:styleId="day">
    <w:name w:val="day"/>
    <w:basedOn w:val="Policepardfaut"/>
    <w:rsid w:val="00B0362A"/>
  </w:style>
  <w:style w:type="character" w:customStyle="1" w:styleId="month">
    <w:name w:val="month"/>
    <w:basedOn w:val="Policepardfaut"/>
    <w:rsid w:val="00B0362A"/>
  </w:style>
  <w:style w:type="character" w:customStyle="1" w:styleId="separator">
    <w:name w:val="separator"/>
    <w:basedOn w:val="Policepardfaut"/>
    <w:rsid w:val="00B0362A"/>
  </w:style>
  <w:style w:type="character" w:customStyle="1" w:styleId="litteralmonth">
    <w:name w:val="litteralmonth"/>
    <w:basedOn w:val="Policepardfaut"/>
    <w:rsid w:val="00B0362A"/>
  </w:style>
  <w:style w:type="character" w:customStyle="1" w:styleId="year">
    <w:name w:val="year"/>
    <w:basedOn w:val="Policepardfaut"/>
    <w:rsid w:val="00B0362A"/>
  </w:style>
  <w:style w:type="character" w:customStyle="1" w:styleId="hour">
    <w:name w:val="hour"/>
    <w:basedOn w:val="Policepardfaut"/>
    <w:rsid w:val="00B0362A"/>
  </w:style>
  <w:style w:type="character" w:styleId="Lienhypertexte">
    <w:name w:val="Hyperlink"/>
    <w:basedOn w:val="Policepardfaut"/>
    <w:uiPriority w:val="99"/>
    <w:semiHidden/>
    <w:unhideWhenUsed/>
    <w:rsid w:val="00B0362A"/>
    <w:rPr>
      <w:color w:val="0000FF"/>
      <w:u w:val="single"/>
    </w:rPr>
  </w:style>
  <w:style w:type="paragraph" w:styleId="NormalWeb">
    <w:name w:val="Normal (Web)"/>
    <w:basedOn w:val="Normal"/>
    <w:uiPriority w:val="99"/>
    <w:semiHidden/>
    <w:unhideWhenUsed/>
    <w:rsid w:val="00B0362A"/>
    <w:pPr>
      <w:spacing w:before="100" w:beforeAutospacing="1" w:after="100" w:afterAutospacing="1"/>
    </w:pPr>
  </w:style>
  <w:style w:type="character" w:customStyle="1" w:styleId="SansinterligneCar">
    <w:name w:val="Sans interligne Car"/>
    <w:basedOn w:val="Policepardfaut"/>
    <w:link w:val="Sansinterligne"/>
    <w:uiPriority w:val="1"/>
    <w:rsid w:val="004B1B7E"/>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4B1B7E"/>
    <w:rPr>
      <w:rFonts w:ascii="Tahoma" w:hAnsi="Tahoma" w:cs="Tahoma"/>
      <w:sz w:val="16"/>
      <w:szCs w:val="16"/>
    </w:rPr>
  </w:style>
  <w:style w:type="character" w:customStyle="1" w:styleId="TextedebullesCar">
    <w:name w:val="Texte de bulles Car"/>
    <w:basedOn w:val="Policepardfaut"/>
    <w:link w:val="Textedebulles"/>
    <w:uiPriority w:val="99"/>
    <w:semiHidden/>
    <w:rsid w:val="004B1B7E"/>
    <w:rPr>
      <w:rFonts w:ascii="Tahoma" w:hAnsi="Tahoma" w:cs="Tahoma"/>
      <w:sz w:val="16"/>
      <w:szCs w:val="16"/>
    </w:rPr>
  </w:style>
  <w:style w:type="paragraph" w:styleId="En-tte">
    <w:name w:val="header"/>
    <w:basedOn w:val="Normal"/>
    <w:link w:val="En-tteCar"/>
    <w:uiPriority w:val="99"/>
    <w:semiHidden/>
    <w:unhideWhenUsed/>
    <w:rsid w:val="00AF2993"/>
    <w:pPr>
      <w:tabs>
        <w:tab w:val="center" w:pos="4536"/>
        <w:tab w:val="right" w:pos="9072"/>
      </w:tabs>
    </w:pPr>
  </w:style>
  <w:style w:type="character" w:customStyle="1" w:styleId="En-tteCar">
    <w:name w:val="En-tête Car"/>
    <w:basedOn w:val="Policepardfaut"/>
    <w:link w:val="En-tte"/>
    <w:uiPriority w:val="99"/>
    <w:semiHidden/>
    <w:rsid w:val="00AF2993"/>
    <w:rPr>
      <w:sz w:val="24"/>
      <w:szCs w:val="24"/>
    </w:rPr>
  </w:style>
  <w:style w:type="paragraph" w:styleId="Pieddepage">
    <w:name w:val="footer"/>
    <w:basedOn w:val="Normal"/>
    <w:link w:val="PieddepageCar"/>
    <w:uiPriority w:val="99"/>
    <w:semiHidden/>
    <w:unhideWhenUsed/>
    <w:rsid w:val="00AF2993"/>
    <w:pPr>
      <w:tabs>
        <w:tab w:val="center" w:pos="4536"/>
        <w:tab w:val="right" w:pos="9072"/>
      </w:tabs>
    </w:pPr>
  </w:style>
  <w:style w:type="character" w:customStyle="1" w:styleId="PieddepageCar">
    <w:name w:val="Pied de page Car"/>
    <w:basedOn w:val="Policepardfaut"/>
    <w:link w:val="Pieddepage"/>
    <w:uiPriority w:val="99"/>
    <w:semiHidden/>
    <w:rsid w:val="00AF2993"/>
    <w:rPr>
      <w:sz w:val="24"/>
      <w:szCs w:val="24"/>
    </w:rPr>
  </w:style>
</w:styles>
</file>

<file path=word/webSettings.xml><?xml version="1.0" encoding="utf-8"?>
<w:webSettings xmlns:r="http://schemas.openxmlformats.org/officeDocument/2006/relationships" xmlns:w="http://schemas.openxmlformats.org/wordprocessingml/2006/main">
  <w:divs>
    <w:div w:id="115370144">
      <w:bodyDiv w:val="1"/>
      <w:marLeft w:val="0"/>
      <w:marRight w:val="0"/>
      <w:marTop w:val="0"/>
      <w:marBottom w:val="0"/>
      <w:divBdr>
        <w:top w:val="none" w:sz="0" w:space="0" w:color="auto"/>
        <w:left w:val="none" w:sz="0" w:space="0" w:color="auto"/>
        <w:bottom w:val="none" w:sz="0" w:space="0" w:color="auto"/>
        <w:right w:val="none" w:sz="0" w:space="0" w:color="auto"/>
      </w:divBdr>
      <w:divsChild>
        <w:div w:id="1259362227">
          <w:marLeft w:val="0"/>
          <w:marRight w:val="0"/>
          <w:marTop w:val="0"/>
          <w:marBottom w:val="0"/>
          <w:divBdr>
            <w:top w:val="none" w:sz="0" w:space="0" w:color="auto"/>
            <w:left w:val="none" w:sz="0" w:space="0" w:color="auto"/>
            <w:bottom w:val="none" w:sz="0" w:space="0" w:color="auto"/>
            <w:right w:val="none" w:sz="0" w:space="0" w:color="auto"/>
          </w:divBdr>
          <w:divsChild>
            <w:div w:id="1147891411">
              <w:marLeft w:val="0"/>
              <w:marRight w:val="0"/>
              <w:marTop w:val="0"/>
              <w:marBottom w:val="0"/>
              <w:divBdr>
                <w:top w:val="none" w:sz="0" w:space="0" w:color="auto"/>
                <w:left w:val="none" w:sz="0" w:space="0" w:color="auto"/>
                <w:bottom w:val="none" w:sz="0" w:space="0" w:color="auto"/>
                <w:right w:val="none" w:sz="0" w:space="0" w:color="auto"/>
              </w:divBdr>
            </w:div>
          </w:divsChild>
        </w:div>
        <w:div w:id="180752344">
          <w:marLeft w:val="0"/>
          <w:marRight w:val="0"/>
          <w:marTop w:val="0"/>
          <w:marBottom w:val="0"/>
          <w:divBdr>
            <w:top w:val="none" w:sz="0" w:space="0" w:color="auto"/>
            <w:left w:val="none" w:sz="0" w:space="0" w:color="auto"/>
            <w:bottom w:val="none" w:sz="0" w:space="0" w:color="auto"/>
            <w:right w:val="none" w:sz="0" w:space="0" w:color="auto"/>
          </w:divBdr>
        </w:div>
        <w:div w:id="176102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2011-04-26T17:08:00Z</cp:lastPrinted>
  <dcterms:created xsi:type="dcterms:W3CDTF">2011-04-25T17:14:00Z</dcterms:created>
  <dcterms:modified xsi:type="dcterms:W3CDTF">2011-04-26T17:08:00Z</dcterms:modified>
</cp:coreProperties>
</file>